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B055C4" w:rsidRDefault="00B055C4" w:rsidP="00B055C4">
      <w:pPr>
        <w:jc w:val="center"/>
        <w:rPr>
          <w:b/>
          <w:u w:val="single"/>
        </w:rPr>
      </w:pPr>
      <w:r>
        <w:rPr>
          <w:b/>
          <w:u w:val="single"/>
        </w:rPr>
        <w:t>FAFEN Preliminary Report on 111th session of the Senate</w:t>
      </w:r>
    </w:p>
    <w:p w:rsidR="00B055C4" w:rsidRPr="00B055C4" w:rsidRDefault="00B055C4" w:rsidP="00B055C4">
      <w:pPr>
        <w:jc w:val="center"/>
        <w:rPr>
          <w:b/>
          <w:sz w:val="28"/>
        </w:rPr>
      </w:pPr>
      <w:bookmarkStart w:id="0" w:name="_GoBack"/>
      <w:bookmarkEnd w:id="0"/>
      <w:r>
        <w:rPr>
          <w:b/>
          <w:sz w:val="28"/>
        </w:rPr>
        <w:t xml:space="preserve">111th session: Senate Passes Four Private Bills </w:t>
      </w:r>
    </w:p>
    <w:p w:rsidR="00A77C80" w:rsidRDefault="009D67FD" w:rsidP="00F501F1">
      <w:pPr>
        <w:pStyle w:val="ListParagraph"/>
        <w:tabs>
          <w:tab w:val="left" w:pos="2115"/>
        </w:tabs>
        <w:ind w:left="0"/>
        <w:jc w:val="both"/>
      </w:pPr>
      <w:r w:rsidRPr="00A77C80">
        <w:t>I</w:t>
      </w:r>
      <w:r w:rsidR="001977D5">
        <w:t xml:space="preserve">SLAMABAD, March 5, 2015: </w:t>
      </w:r>
      <w:r w:rsidR="00943E54">
        <w:t>Thin</w:t>
      </w:r>
      <w:r w:rsidR="00CF6050">
        <w:t xml:space="preserve"> attendance and </w:t>
      </w:r>
      <w:r w:rsidR="001D7986">
        <w:t>low</w:t>
      </w:r>
      <w:r w:rsidR="00CF6050">
        <w:t xml:space="preserve"> participation of </w:t>
      </w:r>
      <w:r w:rsidR="001D7986">
        <w:t xml:space="preserve">senators </w:t>
      </w:r>
      <w:r w:rsidR="00CF6050">
        <w:t>marked the 1</w:t>
      </w:r>
      <w:r w:rsidR="001977D5">
        <w:t>11</w:t>
      </w:r>
      <w:r w:rsidR="00943E54">
        <w:t>th session of the Upper House</w:t>
      </w:r>
      <w:r w:rsidR="001D7986">
        <w:t xml:space="preserve"> </w:t>
      </w:r>
      <w:r w:rsidR="00B055C4">
        <w:t xml:space="preserve">which was </w:t>
      </w:r>
      <w:r w:rsidR="001D7986">
        <w:t xml:space="preserve">prorogued </w:t>
      </w:r>
      <w:r w:rsidR="00CF6050">
        <w:t xml:space="preserve">on </w:t>
      </w:r>
      <w:r w:rsidR="001977D5">
        <w:t>March 4</w:t>
      </w:r>
      <w:r w:rsidR="00CF6050">
        <w:t>, 201</w:t>
      </w:r>
      <w:r w:rsidR="001977D5">
        <w:t>5</w:t>
      </w:r>
      <w:r w:rsidR="00CF6050">
        <w:t xml:space="preserve">. </w:t>
      </w:r>
      <w:r w:rsidR="001977D5">
        <w:t xml:space="preserve">Four </w:t>
      </w:r>
      <w:r w:rsidR="00CF6050">
        <w:t xml:space="preserve">private member bills were </w:t>
      </w:r>
      <w:r w:rsidR="001977D5">
        <w:t xml:space="preserve">passed </w:t>
      </w:r>
      <w:r w:rsidR="00CF6050">
        <w:t xml:space="preserve">during the session, </w:t>
      </w:r>
      <w:r w:rsidR="00565865">
        <w:t xml:space="preserve">including the </w:t>
      </w:r>
      <w:r w:rsidR="00565865" w:rsidRPr="004B4EA3">
        <w:t>Anti-</w:t>
      </w:r>
      <w:proofErr w:type="spellStart"/>
      <w:r w:rsidR="00565865" w:rsidRPr="004B4EA3">
        <w:t>Honour</w:t>
      </w:r>
      <w:proofErr w:type="spellEnd"/>
      <w:r w:rsidR="00565865" w:rsidRPr="004B4EA3">
        <w:t xml:space="preserve"> Killings Laws</w:t>
      </w:r>
      <w:r w:rsidR="00565865">
        <w:t xml:space="preserve"> (Criminal Laws Amendment) Bill 2014</w:t>
      </w:r>
      <w:r w:rsidR="00565865">
        <w:t xml:space="preserve">, </w:t>
      </w:r>
      <w:r w:rsidR="00CF6050">
        <w:t>while</w:t>
      </w:r>
      <w:r w:rsidR="001977D5">
        <w:t xml:space="preserve"> one </w:t>
      </w:r>
      <w:r w:rsidR="00CF6050">
        <w:t xml:space="preserve">resolution </w:t>
      </w:r>
      <w:r w:rsidR="001977D5">
        <w:t xml:space="preserve">was </w:t>
      </w:r>
      <w:r w:rsidR="00565865">
        <w:t xml:space="preserve">also </w:t>
      </w:r>
      <w:r w:rsidR="00CF6050">
        <w:t>adopted</w:t>
      </w:r>
      <w:r w:rsidR="00A77C80">
        <w:t>.</w:t>
      </w:r>
    </w:p>
    <w:p w:rsidR="00CF6050" w:rsidRDefault="00CF6050" w:rsidP="00CF6050">
      <w:pPr>
        <w:jc w:val="both"/>
        <w:rPr>
          <w:rFonts w:ascii="Calibri" w:eastAsia="Calibri" w:hAnsi="Calibri" w:cs="Times New Roman"/>
        </w:rPr>
      </w:pPr>
      <w:r w:rsidRPr="00C162A7">
        <w:rPr>
          <w:rFonts w:ascii="Calibri" w:eastAsia="Calibri" w:hAnsi="Calibri" w:cs="Times New Roman"/>
        </w:rPr>
        <w:t xml:space="preserve">The session </w:t>
      </w:r>
      <w:r w:rsidR="00B055C4">
        <w:rPr>
          <w:rFonts w:ascii="Calibri" w:eastAsia="Calibri" w:hAnsi="Calibri" w:cs="Times New Roman"/>
        </w:rPr>
        <w:t xml:space="preserve">– comprising </w:t>
      </w:r>
      <w:r w:rsidR="001977D5">
        <w:rPr>
          <w:rFonts w:ascii="Calibri" w:eastAsia="Calibri" w:hAnsi="Calibri" w:cs="Times New Roman"/>
        </w:rPr>
        <w:t xml:space="preserve">four </w:t>
      </w:r>
      <w:r w:rsidR="00B055C4">
        <w:rPr>
          <w:rFonts w:ascii="Calibri" w:eastAsia="Calibri" w:hAnsi="Calibri" w:cs="Times New Roman"/>
        </w:rPr>
        <w:t xml:space="preserve">sittings – started </w:t>
      </w:r>
      <w:r w:rsidR="00943E54">
        <w:rPr>
          <w:rFonts w:ascii="Calibri" w:eastAsia="Calibri" w:hAnsi="Calibri" w:cs="Times New Roman"/>
        </w:rPr>
        <w:t>on</w:t>
      </w:r>
      <w:r w:rsidRPr="00C162A7">
        <w:rPr>
          <w:rFonts w:ascii="Calibri" w:eastAsia="Calibri" w:hAnsi="Calibri" w:cs="Times New Roman"/>
        </w:rPr>
        <w:t xml:space="preserve"> </w:t>
      </w:r>
      <w:r w:rsidR="001977D5">
        <w:rPr>
          <w:rFonts w:ascii="Calibri" w:eastAsia="Calibri" w:hAnsi="Calibri" w:cs="Times New Roman"/>
        </w:rPr>
        <w:t xml:space="preserve">February 27 </w:t>
      </w:r>
      <w:r w:rsidR="00B055C4">
        <w:rPr>
          <w:rFonts w:ascii="Calibri" w:eastAsia="Calibri" w:hAnsi="Calibri" w:cs="Times New Roman"/>
        </w:rPr>
        <w:t>and ended on</w:t>
      </w:r>
      <w:r w:rsidR="001977D5">
        <w:rPr>
          <w:rFonts w:ascii="Calibri" w:eastAsia="Calibri" w:hAnsi="Calibri" w:cs="Times New Roman"/>
        </w:rPr>
        <w:t xml:space="preserve"> March 4</w:t>
      </w:r>
      <w:r w:rsidR="00B055C4">
        <w:rPr>
          <w:rFonts w:ascii="Calibri" w:eastAsia="Calibri" w:hAnsi="Calibri" w:cs="Times New Roman"/>
        </w:rPr>
        <w:t>,</w:t>
      </w:r>
      <w:r>
        <w:rPr>
          <w:rFonts w:ascii="Calibri" w:eastAsia="Calibri" w:hAnsi="Calibri" w:cs="Times New Roman"/>
        </w:rPr>
        <w:t xml:space="preserve"> </w:t>
      </w:r>
      <w:r w:rsidR="00B055C4">
        <w:rPr>
          <w:rFonts w:ascii="Calibri" w:eastAsia="Calibri" w:hAnsi="Calibri" w:cs="Times New Roman"/>
        </w:rPr>
        <w:t>lasting</w:t>
      </w:r>
      <w:r w:rsidRPr="00C162A7">
        <w:rPr>
          <w:rFonts w:ascii="Calibri" w:eastAsia="Calibri" w:hAnsi="Calibri" w:cs="Times New Roman"/>
        </w:rPr>
        <w:t xml:space="preserve"> </w:t>
      </w:r>
      <w:r w:rsidR="00C860D6">
        <w:rPr>
          <w:rFonts w:ascii="Calibri" w:eastAsia="Calibri" w:hAnsi="Calibri" w:cs="Times New Roman"/>
        </w:rPr>
        <w:t xml:space="preserve">six </w:t>
      </w:r>
      <w:r w:rsidR="00B055C4">
        <w:rPr>
          <w:rFonts w:ascii="Calibri" w:eastAsia="Calibri" w:hAnsi="Calibri" w:cs="Times New Roman"/>
        </w:rPr>
        <w:t>h</w:t>
      </w:r>
      <w:r w:rsidRPr="00C162A7">
        <w:rPr>
          <w:rFonts w:ascii="Calibri" w:eastAsia="Calibri" w:hAnsi="Calibri" w:cs="Times New Roman"/>
        </w:rPr>
        <w:t>ours</w:t>
      </w:r>
      <w:r>
        <w:rPr>
          <w:rFonts w:ascii="Calibri" w:eastAsia="Calibri" w:hAnsi="Calibri" w:cs="Times New Roman"/>
        </w:rPr>
        <w:t xml:space="preserve"> and </w:t>
      </w:r>
      <w:r w:rsidR="00C860D6">
        <w:rPr>
          <w:rFonts w:ascii="Calibri" w:eastAsia="Calibri" w:hAnsi="Calibri" w:cs="Times New Roman"/>
        </w:rPr>
        <w:t xml:space="preserve">seven </w:t>
      </w:r>
      <w:r>
        <w:rPr>
          <w:rFonts w:ascii="Calibri" w:eastAsia="Calibri" w:hAnsi="Calibri" w:cs="Times New Roman"/>
        </w:rPr>
        <w:t>minutes</w:t>
      </w:r>
      <w:r w:rsidRPr="00C162A7">
        <w:rPr>
          <w:rFonts w:ascii="Calibri" w:eastAsia="Calibri" w:hAnsi="Calibri" w:cs="Times New Roman"/>
        </w:rPr>
        <w:t xml:space="preserve">. </w:t>
      </w:r>
      <w:r>
        <w:rPr>
          <w:rFonts w:ascii="Calibri" w:eastAsia="Calibri" w:hAnsi="Calibri" w:cs="Times New Roman"/>
        </w:rPr>
        <w:t>On average, each sitting started 4</w:t>
      </w:r>
      <w:r w:rsidR="00C860D6">
        <w:rPr>
          <w:rFonts w:ascii="Calibri" w:eastAsia="Calibri" w:hAnsi="Calibri" w:cs="Times New Roman"/>
        </w:rPr>
        <w:t>0</w:t>
      </w:r>
      <w:r>
        <w:rPr>
          <w:rFonts w:ascii="Calibri" w:eastAsia="Calibri" w:hAnsi="Calibri" w:cs="Times New Roman"/>
        </w:rPr>
        <w:t xml:space="preserve"> minutes behind the schedule with 1</w:t>
      </w:r>
      <w:r w:rsidR="00C860D6">
        <w:rPr>
          <w:rFonts w:ascii="Calibri" w:eastAsia="Calibri" w:hAnsi="Calibri" w:cs="Times New Roman"/>
        </w:rPr>
        <w:t>1</w:t>
      </w:r>
      <w:r>
        <w:rPr>
          <w:rFonts w:ascii="Calibri" w:eastAsia="Calibri" w:hAnsi="Calibri" w:cs="Times New Roman"/>
        </w:rPr>
        <w:t xml:space="preserve"> members present at the outset and 24 at the end. </w:t>
      </w:r>
    </w:p>
    <w:p w:rsidR="00391594" w:rsidRPr="00391594" w:rsidRDefault="00391594" w:rsidP="00391594">
      <w:pPr>
        <w:jc w:val="both"/>
        <w:rPr>
          <w:rFonts w:ascii="Calibri" w:eastAsia="Calibri" w:hAnsi="Calibri" w:cs="Times New Roman"/>
        </w:rPr>
      </w:pPr>
      <w:r w:rsidRPr="00391594">
        <w:rPr>
          <w:rFonts w:ascii="Calibri" w:eastAsia="Calibri" w:hAnsi="Calibri" w:cs="Times New Roman"/>
        </w:rPr>
        <w:t xml:space="preserve">Since the </w:t>
      </w:r>
      <w:r>
        <w:rPr>
          <w:rFonts w:ascii="Calibri" w:eastAsia="Calibri" w:hAnsi="Calibri" w:cs="Times New Roman"/>
        </w:rPr>
        <w:t xml:space="preserve">Senate </w:t>
      </w:r>
      <w:r w:rsidRPr="00391594">
        <w:rPr>
          <w:rFonts w:ascii="Calibri" w:eastAsia="Calibri" w:hAnsi="Calibri" w:cs="Times New Roman"/>
        </w:rPr>
        <w:t xml:space="preserve">does not share the attendance of lawmakers with the public, FAFEN conducts a headcount </w:t>
      </w:r>
      <w:r w:rsidR="00B055C4">
        <w:rPr>
          <w:rFonts w:ascii="Calibri" w:eastAsia="Calibri" w:hAnsi="Calibri" w:cs="Times New Roman"/>
        </w:rPr>
        <w:t xml:space="preserve">of lawmakers </w:t>
      </w:r>
      <w:r w:rsidRPr="00391594">
        <w:rPr>
          <w:rFonts w:ascii="Calibri" w:eastAsia="Calibri" w:hAnsi="Calibri" w:cs="Times New Roman"/>
        </w:rPr>
        <w:t>at the start and end of each sitting and documents the actual time spent by the members on the floor of the House.</w:t>
      </w:r>
    </w:p>
    <w:p w:rsidR="00CF6050" w:rsidRDefault="00A530EE" w:rsidP="00CF6050">
      <w:pPr>
        <w:jc w:val="both"/>
        <w:rPr>
          <w:rFonts w:ascii="Calibri" w:eastAsia="Calibri" w:hAnsi="Calibri" w:cs="Times New Roman"/>
        </w:rPr>
      </w:pPr>
      <w:r w:rsidRPr="00A530EE">
        <w:rPr>
          <w:rFonts w:ascii="Calibri" w:eastAsia="Calibri" w:hAnsi="Calibri" w:cs="Times New Roman"/>
        </w:rPr>
        <w:t xml:space="preserve">The Prime Minister </w:t>
      </w:r>
      <w:r>
        <w:rPr>
          <w:rFonts w:ascii="Calibri" w:eastAsia="Calibri" w:hAnsi="Calibri" w:cs="Times New Roman"/>
        </w:rPr>
        <w:t xml:space="preserve">and the Leader of the House </w:t>
      </w:r>
      <w:r w:rsidRPr="00A530EE">
        <w:rPr>
          <w:rFonts w:ascii="Calibri" w:eastAsia="Calibri" w:hAnsi="Calibri" w:cs="Times New Roman"/>
        </w:rPr>
        <w:t xml:space="preserve">did not attend any of the </w:t>
      </w:r>
      <w:r>
        <w:rPr>
          <w:rFonts w:ascii="Calibri" w:eastAsia="Calibri" w:hAnsi="Calibri" w:cs="Times New Roman"/>
        </w:rPr>
        <w:t xml:space="preserve">four </w:t>
      </w:r>
      <w:r w:rsidRPr="00A530EE">
        <w:rPr>
          <w:rFonts w:ascii="Calibri" w:eastAsia="Calibri" w:hAnsi="Calibri" w:cs="Times New Roman"/>
        </w:rPr>
        <w:t>sittings</w:t>
      </w:r>
      <w:r w:rsidR="00B055C4">
        <w:rPr>
          <w:rFonts w:ascii="Calibri" w:eastAsia="Calibri" w:hAnsi="Calibri" w:cs="Times New Roman"/>
        </w:rPr>
        <w:t>,</w:t>
      </w:r>
      <w:r w:rsidR="00CF6050">
        <w:rPr>
          <w:rFonts w:ascii="Calibri" w:eastAsia="Calibri" w:hAnsi="Calibri" w:cs="Times New Roman"/>
        </w:rPr>
        <w:t xml:space="preserve"> while the Leader of the Opposition </w:t>
      </w:r>
      <w:r w:rsidR="00B055C4">
        <w:rPr>
          <w:rFonts w:ascii="Calibri" w:eastAsia="Calibri" w:hAnsi="Calibri" w:cs="Times New Roman"/>
        </w:rPr>
        <w:t xml:space="preserve">was present in </w:t>
      </w:r>
      <w:r w:rsidR="00CF6050">
        <w:rPr>
          <w:rFonts w:ascii="Calibri" w:eastAsia="Calibri" w:hAnsi="Calibri" w:cs="Times New Roman"/>
        </w:rPr>
        <w:t>t</w:t>
      </w:r>
      <w:r w:rsidR="00C860D6">
        <w:rPr>
          <w:rFonts w:ascii="Calibri" w:eastAsia="Calibri" w:hAnsi="Calibri" w:cs="Times New Roman"/>
        </w:rPr>
        <w:t xml:space="preserve">wo </w:t>
      </w:r>
      <w:r w:rsidR="00CF6050">
        <w:rPr>
          <w:rFonts w:ascii="Calibri" w:eastAsia="Calibri" w:hAnsi="Calibri" w:cs="Times New Roman"/>
        </w:rPr>
        <w:t xml:space="preserve">sittings. The Chairman attended </w:t>
      </w:r>
      <w:r w:rsidR="00C860D6">
        <w:rPr>
          <w:rFonts w:ascii="Calibri" w:eastAsia="Calibri" w:hAnsi="Calibri" w:cs="Times New Roman"/>
        </w:rPr>
        <w:t xml:space="preserve">all </w:t>
      </w:r>
      <w:r w:rsidR="00B055C4">
        <w:rPr>
          <w:rFonts w:ascii="Calibri" w:eastAsia="Calibri" w:hAnsi="Calibri" w:cs="Times New Roman"/>
        </w:rPr>
        <w:t xml:space="preserve">the </w:t>
      </w:r>
      <w:r w:rsidR="00CF6050">
        <w:rPr>
          <w:rFonts w:ascii="Calibri" w:eastAsia="Calibri" w:hAnsi="Calibri" w:cs="Times New Roman"/>
        </w:rPr>
        <w:t xml:space="preserve">four sittings and presided </w:t>
      </w:r>
      <w:r w:rsidR="00C860D6">
        <w:rPr>
          <w:rFonts w:ascii="Calibri" w:eastAsia="Calibri" w:hAnsi="Calibri" w:cs="Times New Roman"/>
        </w:rPr>
        <w:t>85</w:t>
      </w:r>
      <w:r w:rsidR="00B055C4">
        <w:rPr>
          <w:rFonts w:ascii="Calibri" w:eastAsia="Calibri" w:hAnsi="Calibri" w:cs="Times New Roman"/>
        </w:rPr>
        <w:t>% of the proceedings. T</w:t>
      </w:r>
      <w:r w:rsidR="00CF6050">
        <w:rPr>
          <w:rFonts w:ascii="Calibri" w:eastAsia="Calibri" w:hAnsi="Calibri" w:cs="Times New Roman"/>
        </w:rPr>
        <w:t>he Deputy Speaker was present in t</w:t>
      </w:r>
      <w:r w:rsidR="00C860D6">
        <w:rPr>
          <w:rFonts w:ascii="Calibri" w:eastAsia="Calibri" w:hAnsi="Calibri" w:cs="Times New Roman"/>
        </w:rPr>
        <w:t xml:space="preserve">hree </w:t>
      </w:r>
      <w:r w:rsidR="00CF6050">
        <w:rPr>
          <w:rFonts w:ascii="Calibri" w:eastAsia="Calibri" w:hAnsi="Calibri" w:cs="Times New Roman"/>
        </w:rPr>
        <w:t xml:space="preserve">sittings </w:t>
      </w:r>
      <w:r w:rsidR="007D764F">
        <w:rPr>
          <w:rFonts w:ascii="Calibri" w:eastAsia="Calibri" w:hAnsi="Calibri" w:cs="Times New Roman"/>
        </w:rPr>
        <w:t>and chaired 1</w:t>
      </w:r>
      <w:r w:rsidR="00C860D6">
        <w:rPr>
          <w:rFonts w:ascii="Calibri" w:eastAsia="Calibri" w:hAnsi="Calibri" w:cs="Times New Roman"/>
        </w:rPr>
        <w:t>5</w:t>
      </w:r>
      <w:r w:rsidR="007D764F">
        <w:rPr>
          <w:rFonts w:ascii="Calibri" w:eastAsia="Calibri" w:hAnsi="Calibri" w:cs="Times New Roman"/>
        </w:rPr>
        <w:t xml:space="preserve">% of the session. </w:t>
      </w:r>
      <w:r w:rsidR="00CF6050">
        <w:rPr>
          <w:rFonts w:ascii="Calibri" w:eastAsia="Calibri" w:hAnsi="Calibri" w:cs="Times New Roman"/>
        </w:rPr>
        <w:t xml:space="preserve">Among party leaders, the </w:t>
      </w:r>
      <w:r w:rsidR="00CF6050" w:rsidRPr="0082253E">
        <w:rPr>
          <w:rFonts w:ascii="Calibri" w:eastAsia="Calibri" w:hAnsi="Calibri" w:cs="Times New Roman"/>
        </w:rPr>
        <w:t xml:space="preserve">PkMAP leader attended </w:t>
      </w:r>
      <w:r w:rsidR="005677C1">
        <w:rPr>
          <w:rFonts w:ascii="Calibri" w:eastAsia="Calibri" w:hAnsi="Calibri" w:cs="Times New Roman"/>
        </w:rPr>
        <w:t xml:space="preserve">all </w:t>
      </w:r>
      <w:r w:rsidR="00B055C4">
        <w:rPr>
          <w:rFonts w:ascii="Calibri" w:eastAsia="Calibri" w:hAnsi="Calibri" w:cs="Times New Roman"/>
        </w:rPr>
        <w:t xml:space="preserve">the </w:t>
      </w:r>
      <w:r w:rsidR="00CF6050" w:rsidRPr="0082253E">
        <w:rPr>
          <w:rFonts w:ascii="Calibri" w:eastAsia="Calibri" w:hAnsi="Calibri" w:cs="Times New Roman"/>
        </w:rPr>
        <w:t>sittings</w:t>
      </w:r>
      <w:r w:rsidR="00CF6050">
        <w:rPr>
          <w:rFonts w:ascii="Calibri" w:eastAsia="Calibri" w:hAnsi="Calibri" w:cs="Times New Roman"/>
        </w:rPr>
        <w:t>,</w:t>
      </w:r>
      <w:r w:rsidR="00CF6050" w:rsidRPr="0082253E">
        <w:rPr>
          <w:rFonts w:ascii="Calibri" w:eastAsia="Calibri" w:hAnsi="Calibri" w:cs="Times New Roman"/>
        </w:rPr>
        <w:t xml:space="preserve"> </w:t>
      </w:r>
      <w:r w:rsidR="00CF6050">
        <w:rPr>
          <w:rFonts w:ascii="Calibri" w:eastAsia="Calibri" w:hAnsi="Calibri" w:cs="Times New Roman"/>
        </w:rPr>
        <w:t xml:space="preserve">followed by </w:t>
      </w:r>
      <w:r w:rsidR="005677C1">
        <w:rPr>
          <w:rFonts w:ascii="Calibri" w:eastAsia="Calibri" w:hAnsi="Calibri" w:cs="Times New Roman"/>
        </w:rPr>
        <w:t>PML and ANP (</w:t>
      </w:r>
      <w:r w:rsidR="00B055C4">
        <w:rPr>
          <w:rFonts w:ascii="Calibri" w:eastAsia="Calibri" w:hAnsi="Calibri" w:cs="Times New Roman"/>
        </w:rPr>
        <w:t>two</w:t>
      </w:r>
      <w:r w:rsidR="005677C1">
        <w:rPr>
          <w:rFonts w:ascii="Calibri" w:eastAsia="Calibri" w:hAnsi="Calibri" w:cs="Times New Roman"/>
        </w:rPr>
        <w:t xml:space="preserve"> each) and </w:t>
      </w:r>
      <w:r w:rsidR="00C860D6">
        <w:rPr>
          <w:rFonts w:ascii="Calibri" w:eastAsia="Calibri" w:hAnsi="Calibri" w:cs="Times New Roman"/>
        </w:rPr>
        <w:t>NP, PML</w:t>
      </w:r>
      <w:r w:rsidR="005677C1">
        <w:rPr>
          <w:rFonts w:ascii="Calibri" w:eastAsia="Calibri" w:hAnsi="Calibri" w:cs="Times New Roman"/>
        </w:rPr>
        <w:t>-N</w:t>
      </w:r>
      <w:r w:rsidR="00C860D6">
        <w:rPr>
          <w:rFonts w:ascii="Calibri" w:eastAsia="Calibri" w:hAnsi="Calibri" w:cs="Times New Roman"/>
        </w:rPr>
        <w:t xml:space="preserve"> and JUI-F</w:t>
      </w:r>
      <w:r w:rsidR="00B055C4">
        <w:rPr>
          <w:rFonts w:ascii="Calibri" w:eastAsia="Calibri" w:hAnsi="Calibri" w:cs="Times New Roman"/>
        </w:rPr>
        <w:t xml:space="preserve"> (one each)</w:t>
      </w:r>
      <w:r w:rsidR="00C860D6">
        <w:rPr>
          <w:rFonts w:ascii="Calibri" w:eastAsia="Calibri" w:hAnsi="Calibri" w:cs="Times New Roman"/>
        </w:rPr>
        <w:t xml:space="preserve">. </w:t>
      </w:r>
    </w:p>
    <w:p w:rsidR="009D67FD" w:rsidRDefault="004B4EA3" w:rsidP="009645BC">
      <w:pPr>
        <w:jc w:val="both"/>
      </w:pPr>
      <w:r>
        <w:t xml:space="preserve">Seven </w:t>
      </w:r>
      <w:r w:rsidR="009D67FD">
        <w:t xml:space="preserve">private </w:t>
      </w:r>
      <w:r w:rsidR="009D67FD" w:rsidRPr="009645BC">
        <w:rPr>
          <w:rFonts w:ascii="Calibri" w:eastAsia="Calibri" w:hAnsi="Calibri" w:cs="Times New Roman"/>
        </w:rPr>
        <w:t>member</w:t>
      </w:r>
      <w:r w:rsidR="009D67FD">
        <w:t xml:space="preserve"> bills</w:t>
      </w:r>
      <w:r>
        <w:t xml:space="preserve"> </w:t>
      </w:r>
      <w:r w:rsidR="009D67FD">
        <w:t>appeared</w:t>
      </w:r>
      <w:r w:rsidR="00A77C80">
        <w:t xml:space="preserve"> on the second sitting’s agenda. </w:t>
      </w:r>
      <w:r>
        <w:t xml:space="preserve">Four </w:t>
      </w:r>
      <w:r w:rsidR="00A77C80">
        <w:t xml:space="preserve">of these bills </w:t>
      </w:r>
      <w:r w:rsidR="009D67FD">
        <w:t xml:space="preserve">were </w:t>
      </w:r>
      <w:r>
        <w:t>passed</w:t>
      </w:r>
      <w:r w:rsidR="00B055C4">
        <w:t xml:space="preserve">, while three others </w:t>
      </w:r>
      <w:r>
        <w:t>were not taken up due to the absence of</w:t>
      </w:r>
      <w:r w:rsidR="00B055C4">
        <w:t xml:space="preserve"> the</w:t>
      </w:r>
      <w:r>
        <w:t xml:space="preserve"> </w:t>
      </w:r>
      <w:r w:rsidR="009D67FD">
        <w:t>mover.</w:t>
      </w:r>
    </w:p>
    <w:p w:rsidR="009D67FD" w:rsidRDefault="009D67FD" w:rsidP="004B4EA3">
      <w:pPr>
        <w:jc w:val="both"/>
      </w:pPr>
      <w:r>
        <w:t xml:space="preserve">The </w:t>
      </w:r>
      <w:r w:rsidR="004B4EA3">
        <w:t xml:space="preserve">passed bills included </w:t>
      </w:r>
      <w:r w:rsidR="004B4EA3" w:rsidRPr="004B4EA3">
        <w:t>Anti-Honour Killings Laws</w:t>
      </w:r>
      <w:r w:rsidR="00B055C4">
        <w:t xml:space="preserve"> (Criminal Laws Amendment) Bill 2014,</w:t>
      </w:r>
      <w:r w:rsidR="004B4EA3" w:rsidRPr="004B4EA3">
        <w:t xml:space="preserve"> </w:t>
      </w:r>
      <w:r w:rsidR="00B055C4">
        <w:t xml:space="preserve">the </w:t>
      </w:r>
      <w:r w:rsidR="004B4EA3" w:rsidRPr="004B4EA3">
        <w:t>Torture, Custodial Death and Custodial Rape (</w:t>
      </w:r>
      <w:r w:rsidR="00B055C4">
        <w:t>Prevention and Punishment) Bill 2014, the</w:t>
      </w:r>
      <w:r w:rsidR="004B4EA3" w:rsidRPr="004B4EA3">
        <w:t xml:space="preserve"> Anti-Rape Laws</w:t>
      </w:r>
      <w:r w:rsidR="00B055C4">
        <w:t xml:space="preserve"> (Criminal Laws Amendment) Bill</w:t>
      </w:r>
      <w:r w:rsidR="004B4EA3" w:rsidRPr="004B4EA3">
        <w:t xml:space="preserve"> 2014 and </w:t>
      </w:r>
      <w:r w:rsidR="00B055C4">
        <w:t xml:space="preserve">the </w:t>
      </w:r>
      <w:r w:rsidR="004B4EA3" w:rsidRPr="004B4EA3">
        <w:t>Privati</w:t>
      </w:r>
      <w:r w:rsidR="00B055C4">
        <w:t>z</w:t>
      </w:r>
      <w:r w:rsidR="004B4EA3" w:rsidRPr="004B4EA3">
        <w:t>ation Commission (Amen</w:t>
      </w:r>
      <w:r w:rsidR="00B055C4">
        <w:t xml:space="preserve">dment) Bill </w:t>
      </w:r>
      <w:r w:rsidR="004B4EA3" w:rsidRPr="004B4EA3">
        <w:t>2013.</w:t>
      </w:r>
    </w:p>
    <w:p w:rsidR="004B4EA3" w:rsidRDefault="004B4EA3" w:rsidP="009D67FD">
      <w:pPr>
        <w:jc w:val="both"/>
      </w:pPr>
      <w:r>
        <w:t xml:space="preserve">Five private resolutions </w:t>
      </w:r>
      <w:r w:rsidR="00B055C4">
        <w:t>appeared</w:t>
      </w:r>
      <w:r>
        <w:t xml:space="preserve"> on the agenda during the second sitting. Four resolutions were not taken up</w:t>
      </w:r>
      <w:r w:rsidR="00B055C4">
        <w:t>,</w:t>
      </w:r>
      <w:r>
        <w:t xml:space="preserve"> while </w:t>
      </w:r>
      <w:r w:rsidR="00B055C4">
        <w:t xml:space="preserve">the fifth resolution </w:t>
      </w:r>
      <w:r>
        <w:t>tabled by</w:t>
      </w:r>
      <w:r w:rsidR="00B055C4">
        <w:t xml:space="preserve"> a </w:t>
      </w:r>
      <w:r>
        <w:t>JUI-F lawmak</w:t>
      </w:r>
      <w:r w:rsidR="00B055C4">
        <w:t>er regarding deployment of para</w:t>
      </w:r>
      <w:r>
        <w:t>military force</w:t>
      </w:r>
      <w:r w:rsidR="00B055C4">
        <w:t>s</w:t>
      </w:r>
      <w:r>
        <w:t xml:space="preserve"> at Pak-China border was adopted. </w:t>
      </w:r>
    </w:p>
    <w:p w:rsidR="003242EC" w:rsidRDefault="003242EC" w:rsidP="00994F31">
      <w:pPr>
        <w:jc w:val="both"/>
      </w:pPr>
      <w:r>
        <w:t>Six</w:t>
      </w:r>
      <w:r w:rsidR="00994F31">
        <w:t xml:space="preserve"> motions under Rule 218 appeared on the list of business, of which </w:t>
      </w:r>
      <w:r>
        <w:t xml:space="preserve">four were debated. Tabled by an ANP </w:t>
      </w:r>
      <w:r w:rsidR="00994F31">
        <w:t>senator, the taken up motion</w:t>
      </w:r>
      <w:r w:rsidR="00B055C4">
        <w:t>s</w:t>
      </w:r>
      <w:r w:rsidR="00994F31">
        <w:t xml:space="preserve"> dealt with </w:t>
      </w:r>
      <w:r>
        <w:t xml:space="preserve">non-payment of net </w:t>
      </w:r>
      <w:r w:rsidR="00B055C4">
        <w:t>hydro</w:t>
      </w:r>
      <w:r>
        <w:t xml:space="preserve"> profits to the government of Khyber Pakhtunkhwa in line with AGN </w:t>
      </w:r>
      <w:proofErr w:type="spellStart"/>
      <w:r>
        <w:t>Kazi</w:t>
      </w:r>
      <w:proofErr w:type="spellEnd"/>
      <w:r>
        <w:t xml:space="preserve"> formula and Arbitration Award of 2006, supply of co</w:t>
      </w:r>
      <w:r w:rsidR="00B055C4">
        <w:t xml:space="preserve">ntaminated water in Islamabad, </w:t>
      </w:r>
      <w:r>
        <w:t>CDA</w:t>
      </w:r>
      <w:r w:rsidR="00B055C4">
        <w:t>’s performance</w:t>
      </w:r>
      <w:r>
        <w:t xml:space="preserve"> </w:t>
      </w:r>
      <w:r w:rsidR="00B055C4">
        <w:t xml:space="preserve">on </w:t>
      </w:r>
      <w:r>
        <w:t xml:space="preserve">removal of encroachments and </w:t>
      </w:r>
      <w:r w:rsidR="00B055C4">
        <w:t xml:space="preserve">NDMA’s </w:t>
      </w:r>
      <w:r>
        <w:t xml:space="preserve">performance in wake of </w:t>
      </w:r>
      <w:r w:rsidR="00B055C4">
        <w:t xml:space="preserve">the </w:t>
      </w:r>
      <w:r>
        <w:t xml:space="preserve">floods in September 2014. </w:t>
      </w:r>
    </w:p>
    <w:p w:rsidR="00391594" w:rsidRDefault="00B055C4" w:rsidP="00B16165">
      <w:pPr>
        <w:jc w:val="both"/>
      </w:pPr>
      <w:r>
        <w:t>The</w:t>
      </w:r>
      <w:r w:rsidR="00B16165">
        <w:t xml:space="preserve"> </w:t>
      </w:r>
      <w:r w:rsidR="00B16165">
        <w:t>unaddressed</w:t>
      </w:r>
      <w:r w:rsidR="00B16165">
        <w:t xml:space="preserve"> motions </w:t>
      </w:r>
      <w:r w:rsidR="00994F31">
        <w:t xml:space="preserve">were related to </w:t>
      </w:r>
      <w:r w:rsidR="003242EC">
        <w:t xml:space="preserve">drought in Thar and </w:t>
      </w:r>
      <w:r>
        <w:t xml:space="preserve">provision of </w:t>
      </w:r>
      <w:r w:rsidR="003242EC">
        <w:t xml:space="preserve">free education to children </w:t>
      </w:r>
      <w:r>
        <w:t xml:space="preserve">between five and </w:t>
      </w:r>
      <w:r w:rsidR="003242EC">
        <w:t xml:space="preserve">16 years. </w:t>
      </w:r>
    </w:p>
    <w:p w:rsidR="00391594" w:rsidRPr="00391594" w:rsidRDefault="00391594" w:rsidP="00391594">
      <w:pPr>
        <w:jc w:val="both"/>
      </w:pPr>
      <w:r>
        <w:t xml:space="preserve">Thirty-two </w:t>
      </w:r>
      <w:r w:rsidRPr="00391594">
        <w:t xml:space="preserve">out of </w:t>
      </w:r>
      <w:r>
        <w:t>90</w:t>
      </w:r>
      <w:r w:rsidR="00FB0CF5">
        <w:t xml:space="preserve"> (36%)</w:t>
      </w:r>
      <w:r w:rsidRPr="00391594">
        <w:t xml:space="preserve"> starred questions were taken up during the </w:t>
      </w:r>
      <w:r w:rsidR="00B055C4">
        <w:t>session</w:t>
      </w:r>
      <w:r w:rsidRPr="00391594">
        <w:t xml:space="preserve">. Additionally, the senators raised </w:t>
      </w:r>
      <w:r>
        <w:t>85</w:t>
      </w:r>
      <w:r w:rsidRPr="00391594">
        <w:t xml:space="preserve"> supplementary questions.</w:t>
      </w:r>
      <w:r>
        <w:t xml:space="preserve"> Of these, 22 were addressed to Ministry of Housing and Works</w:t>
      </w:r>
      <w:r w:rsidR="00B055C4">
        <w:t>,</w:t>
      </w:r>
      <w:r>
        <w:t xml:space="preserve"> followed by </w:t>
      </w:r>
      <w:r w:rsidR="00B055C4">
        <w:t xml:space="preserve">the </w:t>
      </w:r>
      <w:r>
        <w:t xml:space="preserve">Ministries of Water and Power (18), Petroleum and Natural Resources (15), </w:t>
      </w:r>
      <w:r>
        <w:lastRenderedPageBreak/>
        <w:t>Interior and Narcotics Control (</w:t>
      </w:r>
      <w:r w:rsidR="00B055C4">
        <w:t>eight</w:t>
      </w:r>
      <w:r>
        <w:t>), Communication (</w:t>
      </w:r>
      <w:r w:rsidR="00B055C4">
        <w:t>five</w:t>
      </w:r>
      <w:r>
        <w:t>) and National Health</w:t>
      </w:r>
      <w:r w:rsidRPr="00391594">
        <w:rPr>
          <w:rFonts w:ascii="Calibri" w:eastAsia="Calibri" w:hAnsi="Calibri" w:cs="Times New Roman"/>
        </w:rPr>
        <w:t xml:space="preserve"> </w:t>
      </w:r>
      <w:r w:rsidRPr="00391594">
        <w:t>Services, Regulations and Coordination</w:t>
      </w:r>
      <w:r>
        <w:t xml:space="preserve"> (</w:t>
      </w:r>
      <w:r w:rsidR="00B055C4">
        <w:t>four</w:t>
      </w:r>
      <w:r>
        <w:t xml:space="preserve">). </w:t>
      </w:r>
    </w:p>
    <w:p w:rsidR="005E4DD2" w:rsidRPr="005E4DD2" w:rsidRDefault="00DA496E" w:rsidP="005E4DD2">
      <w:pPr>
        <w:jc w:val="both"/>
        <w:rPr>
          <w:rFonts w:ascii="Calibri" w:eastAsia="Calibri" w:hAnsi="Calibri" w:cs="Times New Roman"/>
        </w:rPr>
      </w:pPr>
      <w:r>
        <w:rPr>
          <w:rFonts w:ascii="Calibri" w:eastAsia="Calibri" w:hAnsi="Calibri" w:cs="Times New Roman"/>
        </w:rPr>
        <w:t xml:space="preserve">A total of </w:t>
      </w:r>
      <w:r w:rsidR="00B055C4">
        <w:rPr>
          <w:rFonts w:ascii="Calibri" w:eastAsia="Calibri" w:hAnsi="Calibri" w:cs="Times New Roman"/>
        </w:rPr>
        <w:t>17</w:t>
      </w:r>
      <w:r w:rsidR="005E4DD2">
        <w:rPr>
          <w:rFonts w:ascii="Calibri" w:eastAsia="Calibri" w:hAnsi="Calibri" w:cs="Times New Roman"/>
        </w:rPr>
        <w:t xml:space="preserve"> </w:t>
      </w:r>
      <w:r w:rsidR="00FB207D">
        <w:rPr>
          <w:rFonts w:ascii="Calibri" w:eastAsia="Calibri" w:hAnsi="Calibri" w:cs="Times New Roman"/>
        </w:rPr>
        <w:t xml:space="preserve">reports were </w:t>
      </w:r>
      <w:r w:rsidR="005E4DD2">
        <w:rPr>
          <w:rFonts w:ascii="Calibri" w:eastAsia="Calibri" w:hAnsi="Calibri" w:cs="Times New Roman"/>
        </w:rPr>
        <w:t xml:space="preserve">presented before the House. Six </w:t>
      </w:r>
      <w:r w:rsidR="00FB207D">
        <w:rPr>
          <w:rFonts w:ascii="Calibri" w:eastAsia="Calibri" w:hAnsi="Calibri" w:cs="Times New Roman"/>
        </w:rPr>
        <w:t xml:space="preserve">reports </w:t>
      </w:r>
      <w:r w:rsidR="005E4DD2">
        <w:rPr>
          <w:rFonts w:ascii="Calibri" w:eastAsia="Calibri" w:hAnsi="Calibri" w:cs="Times New Roman"/>
        </w:rPr>
        <w:t xml:space="preserve">were </w:t>
      </w:r>
      <w:r w:rsidR="00B055C4">
        <w:rPr>
          <w:rFonts w:ascii="Calibri" w:eastAsia="Calibri" w:hAnsi="Calibri" w:cs="Times New Roman"/>
        </w:rPr>
        <w:t xml:space="preserve">related to legislative </w:t>
      </w:r>
      <w:r w:rsidR="005E4DD2">
        <w:rPr>
          <w:rFonts w:ascii="Calibri" w:eastAsia="Calibri" w:hAnsi="Calibri" w:cs="Times New Roman"/>
        </w:rPr>
        <w:t>bills</w:t>
      </w:r>
      <w:r w:rsidR="00B055C4">
        <w:rPr>
          <w:rFonts w:ascii="Calibri" w:eastAsia="Calibri" w:hAnsi="Calibri" w:cs="Times New Roman"/>
        </w:rPr>
        <w:t xml:space="preserve">, while nine </w:t>
      </w:r>
      <w:r w:rsidR="005E4DD2">
        <w:rPr>
          <w:rFonts w:ascii="Calibri" w:eastAsia="Calibri" w:hAnsi="Calibri" w:cs="Times New Roman"/>
        </w:rPr>
        <w:t>periodic reports came f</w:t>
      </w:r>
      <w:r w:rsidR="00FB207D">
        <w:rPr>
          <w:rFonts w:ascii="Calibri" w:eastAsia="Calibri" w:hAnsi="Calibri" w:cs="Times New Roman"/>
        </w:rPr>
        <w:t xml:space="preserve">rom </w:t>
      </w:r>
      <w:r w:rsidR="00FB207D" w:rsidRPr="00C162A7">
        <w:rPr>
          <w:rFonts w:ascii="Calibri" w:eastAsia="Calibri" w:hAnsi="Calibri" w:cs="Times New Roman"/>
        </w:rPr>
        <w:t xml:space="preserve">the </w:t>
      </w:r>
      <w:r w:rsidR="00B055C4">
        <w:rPr>
          <w:rFonts w:ascii="Calibri" w:eastAsia="Calibri" w:hAnsi="Calibri" w:cs="Times New Roman"/>
        </w:rPr>
        <w:t xml:space="preserve">various standing </w:t>
      </w:r>
      <w:r w:rsidR="00FB207D" w:rsidRPr="00C162A7">
        <w:rPr>
          <w:rFonts w:ascii="Calibri" w:eastAsia="Calibri" w:hAnsi="Calibri" w:cs="Times New Roman"/>
        </w:rPr>
        <w:t>committee</w:t>
      </w:r>
      <w:r w:rsidR="005E4DD2">
        <w:rPr>
          <w:rFonts w:ascii="Calibri" w:eastAsia="Calibri" w:hAnsi="Calibri" w:cs="Times New Roman"/>
        </w:rPr>
        <w:t>s.</w:t>
      </w:r>
      <w:r w:rsidR="009645BC">
        <w:rPr>
          <w:rFonts w:ascii="Calibri" w:eastAsia="Calibri" w:hAnsi="Calibri" w:cs="Times New Roman"/>
        </w:rPr>
        <w:t xml:space="preserve"> In addition, t</w:t>
      </w:r>
      <w:r w:rsidRPr="00DA496E">
        <w:rPr>
          <w:rFonts w:ascii="Calibri" w:eastAsia="Calibri" w:hAnsi="Calibri" w:cs="Times New Roman"/>
        </w:rPr>
        <w:t xml:space="preserve">he first quarterly report of the State Bank of Pakistan’s Central Board for the fiscal year 2014-15 </w:t>
      </w:r>
      <w:r>
        <w:rPr>
          <w:rFonts w:ascii="Calibri" w:eastAsia="Calibri" w:hAnsi="Calibri" w:cs="Times New Roman"/>
        </w:rPr>
        <w:t>and another r</w:t>
      </w:r>
      <w:r w:rsidR="005E4DD2" w:rsidRPr="005E4DD2">
        <w:rPr>
          <w:rFonts w:ascii="Calibri" w:eastAsia="Calibri" w:hAnsi="Calibri" w:cs="Times New Roman"/>
        </w:rPr>
        <w:t xml:space="preserve">eport prepared by the Standing Committee on Information Technology and Telecommunications regarding a point of order (PO) raised by </w:t>
      </w:r>
      <w:r w:rsidR="009645BC">
        <w:rPr>
          <w:rFonts w:ascii="Calibri" w:eastAsia="Calibri" w:hAnsi="Calibri" w:cs="Times New Roman"/>
        </w:rPr>
        <w:t>a PML-N s</w:t>
      </w:r>
      <w:r w:rsidR="005E4DD2" w:rsidRPr="005E4DD2">
        <w:rPr>
          <w:rFonts w:ascii="Calibri" w:eastAsia="Calibri" w:hAnsi="Calibri" w:cs="Times New Roman"/>
        </w:rPr>
        <w:t>enator on January 24, 2012</w:t>
      </w:r>
      <w:r>
        <w:rPr>
          <w:rFonts w:ascii="Calibri" w:eastAsia="Calibri" w:hAnsi="Calibri" w:cs="Times New Roman"/>
        </w:rPr>
        <w:t xml:space="preserve"> were also presented</w:t>
      </w:r>
      <w:r w:rsidR="009645BC">
        <w:rPr>
          <w:rFonts w:ascii="Calibri" w:eastAsia="Calibri" w:hAnsi="Calibri" w:cs="Times New Roman"/>
        </w:rPr>
        <w:t xml:space="preserve"> during the session</w:t>
      </w:r>
      <w:r>
        <w:rPr>
          <w:rFonts w:ascii="Calibri" w:eastAsia="Calibri" w:hAnsi="Calibri" w:cs="Times New Roman"/>
        </w:rPr>
        <w:t xml:space="preserve">. </w:t>
      </w:r>
    </w:p>
    <w:p w:rsidR="00DA496E" w:rsidRDefault="00FB207D" w:rsidP="00994F31">
      <w:pPr>
        <w:jc w:val="both"/>
      </w:pPr>
      <w:r>
        <w:t xml:space="preserve">The House did not take up a motion of thanks to express gratitude to the President for his address to the joint session of the Parliament on June 2, 2014. </w:t>
      </w:r>
    </w:p>
    <w:p w:rsidR="00DA496E" w:rsidRDefault="00DA496E" w:rsidP="00DA496E">
      <w:pPr>
        <w:jc w:val="both"/>
      </w:pPr>
      <w:r w:rsidRPr="00DA496E">
        <w:t>The House took up a CAN sponsored by ANP lawmakers regarding non-provision of funds for ongoing gas projects in Lower Dir.</w:t>
      </w:r>
      <w:r>
        <w:t xml:space="preserve"> </w:t>
      </w:r>
      <w:r w:rsidR="009645BC">
        <w:t xml:space="preserve">In addition, an </w:t>
      </w:r>
      <w:r w:rsidRPr="00DA496E">
        <w:t>ANP lawmaker</w:t>
      </w:r>
      <w:r w:rsidR="009645BC">
        <w:t>’s</w:t>
      </w:r>
      <w:r w:rsidRPr="00DA496E">
        <w:t xml:space="preserve"> motion to </w:t>
      </w:r>
      <w:r w:rsidR="009645BC">
        <w:t xml:space="preserve">amend </w:t>
      </w:r>
      <w:r w:rsidRPr="00DA496E">
        <w:t xml:space="preserve">sub-rule (1) of </w:t>
      </w:r>
      <w:r w:rsidR="009645BC">
        <w:t>R</w:t>
      </w:r>
      <w:r w:rsidRPr="00DA496E">
        <w:t>ule 198</w:t>
      </w:r>
      <w:r>
        <w:t xml:space="preserve"> </w:t>
      </w:r>
      <w:r w:rsidR="009645BC">
        <w:t xml:space="preserve">of the Senate </w:t>
      </w:r>
      <w:r w:rsidRPr="00DA496E">
        <w:t xml:space="preserve">was forwarded to the relevant </w:t>
      </w:r>
      <w:r w:rsidR="009645BC">
        <w:t xml:space="preserve">standing </w:t>
      </w:r>
      <w:r w:rsidRPr="00DA496E">
        <w:t>committee</w:t>
      </w:r>
      <w:r>
        <w:t>.</w:t>
      </w:r>
    </w:p>
    <w:p w:rsidR="00DA496E" w:rsidRDefault="009645BC" w:rsidP="00DA496E">
      <w:pPr>
        <w:jc w:val="both"/>
      </w:pPr>
      <w:r>
        <w:t xml:space="preserve">A total of 25 points of order were raised during the session which consumed 47 minutes of the session’s duration. </w:t>
      </w:r>
      <w:r w:rsidR="00DA496E">
        <w:t xml:space="preserve">The entire opposition staged two </w:t>
      </w:r>
      <w:r w:rsidR="00A530EE">
        <w:t xml:space="preserve">joint </w:t>
      </w:r>
      <w:r w:rsidR="00DA496E">
        <w:t xml:space="preserve">walkouts </w:t>
      </w:r>
      <w:r>
        <w:t xml:space="preserve">against </w:t>
      </w:r>
      <w:r w:rsidR="00DA496E">
        <w:t>the diversion of Pak-China Economic Corridor’</w:t>
      </w:r>
      <w:r w:rsidR="00A530EE">
        <w:t>s original route</w:t>
      </w:r>
      <w:r>
        <w:t>.</w:t>
      </w:r>
      <w:r w:rsidR="00A530EE">
        <w:t xml:space="preserve"> </w:t>
      </w:r>
      <w:r>
        <w:t xml:space="preserve">The </w:t>
      </w:r>
      <w:r w:rsidR="00A530EE">
        <w:t xml:space="preserve">walkouts consumed three minutes of the total </w:t>
      </w:r>
      <w:r>
        <w:t>proceedings</w:t>
      </w:r>
      <w:r w:rsidR="00A530EE">
        <w:t xml:space="preserve">. </w:t>
      </w:r>
    </w:p>
    <w:p w:rsidR="005A47B6" w:rsidRPr="005A47B6" w:rsidRDefault="005A47B6" w:rsidP="009645BC">
      <w:pPr>
        <w:jc w:val="center"/>
        <w:rPr>
          <w:rFonts w:ascii="Calibri" w:eastAsia="Calibri" w:hAnsi="Calibri" w:cs="Times New Roman"/>
          <w:sz w:val="18"/>
          <w:szCs w:val="18"/>
        </w:rPr>
      </w:pPr>
      <w:r w:rsidRPr="005A47B6">
        <w:rPr>
          <w:rFonts w:ascii="Calibri" w:eastAsia="Calibri" w:hAnsi="Calibri" w:cs="Times New Roman"/>
          <w:sz w:val="18"/>
          <w:szCs w:val="18"/>
        </w:rPr>
        <w:t xml:space="preserve">This publication has been produced with the assistance of the European Union. The contents of this publication are the sole responsibility of FAFEN and can in no way be taken to reflect the views of the European Union. This </w:t>
      </w:r>
      <w:r w:rsidR="007C3939">
        <w:rPr>
          <w:rFonts w:ascii="Calibri" w:eastAsia="Calibri" w:hAnsi="Calibri" w:cs="Times New Roman"/>
          <w:sz w:val="18"/>
          <w:szCs w:val="18"/>
        </w:rPr>
        <w:t>p</w:t>
      </w:r>
      <w:r w:rsidRPr="005A47B6">
        <w:rPr>
          <w:rFonts w:ascii="Calibri" w:eastAsia="Calibri" w:hAnsi="Calibri" w:cs="Times New Roman"/>
          <w:sz w:val="18"/>
          <w:szCs w:val="18"/>
        </w:rPr>
        <w:t xml:space="preserve">reliminary report is based on direct observation of the Senate proceedings conducted by PATTAN Development Organization; a member organization of FAFEN. Errors and omissions </w:t>
      </w:r>
      <w:proofErr w:type="gramStart"/>
      <w:r w:rsidRPr="005A47B6">
        <w:rPr>
          <w:rFonts w:ascii="Calibri" w:eastAsia="Calibri" w:hAnsi="Calibri" w:cs="Times New Roman"/>
          <w:sz w:val="18"/>
          <w:szCs w:val="18"/>
        </w:rPr>
        <w:t>excepted</w:t>
      </w:r>
      <w:proofErr w:type="gramEnd"/>
      <w:r w:rsidRPr="005A47B6">
        <w:rPr>
          <w:rFonts w:ascii="Calibri" w:eastAsia="Calibri" w:hAnsi="Calibri" w:cs="Times New Roman"/>
          <w:sz w:val="18"/>
          <w:szCs w:val="18"/>
        </w:rPr>
        <w:t>.</w:t>
      </w:r>
    </w:p>
    <w:sectPr w:rsidR="005A47B6" w:rsidRPr="005A47B6" w:rsidSect="00687DAA">
      <w:headerReference w:type="default" r:id="rId8"/>
      <w:footerReference w:type="default" r:id="rId9"/>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8D" w:rsidRDefault="00045E8D" w:rsidP="004F2F06">
      <w:pPr>
        <w:spacing w:after="0" w:line="240" w:lineRule="auto"/>
      </w:pPr>
      <w:r>
        <w:separator/>
      </w:r>
    </w:p>
  </w:endnote>
  <w:endnote w:type="continuationSeparator" w:id="0">
    <w:p w:rsidR="00045E8D" w:rsidRDefault="00045E8D"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90DE8C5" wp14:editId="25A7B798">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DE8C5"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8D" w:rsidRDefault="00045E8D" w:rsidP="004F2F06">
      <w:pPr>
        <w:spacing w:after="0" w:line="240" w:lineRule="auto"/>
      </w:pPr>
      <w:r>
        <w:separator/>
      </w:r>
    </w:p>
  </w:footnote>
  <w:footnote w:type="continuationSeparator" w:id="0">
    <w:p w:rsidR="00045E8D" w:rsidRDefault="00045E8D"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375B8D97" wp14:editId="4E539F2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B8D97"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72D"/>
    <w:rsid w:val="00043992"/>
    <w:rsid w:val="00045E8D"/>
    <w:rsid w:val="00053FC9"/>
    <w:rsid w:val="00055F96"/>
    <w:rsid w:val="00074C42"/>
    <w:rsid w:val="00082FA6"/>
    <w:rsid w:val="00094983"/>
    <w:rsid w:val="000C2DBF"/>
    <w:rsid w:val="000F3842"/>
    <w:rsid w:val="000F6C35"/>
    <w:rsid w:val="00103725"/>
    <w:rsid w:val="0010414F"/>
    <w:rsid w:val="00111EB2"/>
    <w:rsid w:val="00143C69"/>
    <w:rsid w:val="00146F13"/>
    <w:rsid w:val="00174D16"/>
    <w:rsid w:val="0018449A"/>
    <w:rsid w:val="001977D5"/>
    <w:rsid w:val="001A4317"/>
    <w:rsid w:val="001A67F0"/>
    <w:rsid w:val="001C0977"/>
    <w:rsid w:val="001D7986"/>
    <w:rsid w:val="001E3364"/>
    <w:rsid w:val="001F1F47"/>
    <w:rsid w:val="0020365C"/>
    <w:rsid w:val="00236D92"/>
    <w:rsid w:val="00243158"/>
    <w:rsid w:val="00262BAA"/>
    <w:rsid w:val="00263E4F"/>
    <w:rsid w:val="002642BC"/>
    <w:rsid w:val="0028205C"/>
    <w:rsid w:val="002944EB"/>
    <w:rsid w:val="002A3E0E"/>
    <w:rsid w:val="002E0704"/>
    <w:rsid w:val="002F596E"/>
    <w:rsid w:val="002F6606"/>
    <w:rsid w:val="003107E7"/>
    <w:rsid w:val="0031495F"/>
    <w:rsid w:val="003242EC"/>
    <w:rsid w:val="003317F6"/>
    <w:rsid w:val="00334F3B"/>
    <w:rsid w:val="0034084E"/>
    <w:rsid w:val="00352669"/>
    <w:rsid w:val="003607B1"/>
    <w:rsid w:val="00384FA3"/>
    <w:rsid w:val="00391594"/>
    <w:rsid w:val="003B1A6D"/>
    <w:rsid w:val="003B677E"/>
    <w:rsid w:val="003B7248"/>
    <w:rsid w:val="003C1C92"/>
    <w:rsid w:val="003C5C10"/>
    <w:rsid w:val="003D4B65"/>
    <w:rsid w:val="003D6F35"/>
    <w:rsid w:val="003E72E5"/>
    <w:rsid w:val="00416E58"/>
    <w:rsid w:val="00424FA0"/>
    <w:rsid w:val="0043135E"/>
    <w:rsid w:val="00447F58"/>
    <w:rsid w:val="00452F23"/>
    <w:rsid w:val="00467188"/>
    <w:rsid w:val="00475001"/>
    <w:rsid w:val="00497E1F"/>
    <w:rsid w:val="004A0BA8"/>
    <w:rsid w:val="004A4137"/>
    <w:rsid w:val="004B4EA3"/>
    <w:rsid w:val="004B7E5F"/>
    <w:rsid w:val="004D4757"/>
    <w:rsid w:val="004D7710"/>
    <w:rsid w:val="004F0913"/>
    <w:rsid w:val="004F2F06"/>
    <w:rsid w:val="005165BB"/>
    <w:rsid w:val="005363EE"/>
    <w:rsid w:val="00553512"/>
    <w:rsid w:val="00565865"/>
    <w:rsid w:val="005677C1"/>
    <w:rsid w:val="00594010"/>
    <w:rsid w:val="00596F10"/>
    <w:rsid w:val="005A47B6"/>
    <w:rsid w:val="005E4DD2"/>
    <w:rsid w:val="00611884"/>
    <w:rsid w:val="0061661F"/>
    <w:rsid w:val="00627881"/>
    <w:rsid w:val="00687DAA"/>
    <w:rsid w:val="00694A8E"/>
    <w:rsid w:val="006A6B36"/>
    <w:rsid w:val="006C1647"/>
    <w:rsid w:val="006D6DEB"/>
    <w:rsid w:val="00706467"/>
    <w:rsid w:val="00710FD2"/>
    <w:rsid w:val="00715E5C"/>
    <w:rsid w:val="007A4DC0"/>
    <w:rsid w:val="007A65EF"/>
    <w:rsid w:val="007C3939"/>
    <w:rsid w:val="007C4575"/>
    <w:rsid w:val="007C4B57"/>
    <w:rsid w:val="007D764F"/>
    <w:rsid w:val="007E6400"/>
    <w:rsid w:val="0082253E"/>
    <w:rsid w:val="00840863"/>
    <w:rsid w:val="008702B9"/>
    <w:rsid w:val="0088453E"/>
    <w:rsid w:val="008947FD"/>
    <w:rsid w:val="008A6871"/>
    <w:rsid w:val="008C49CE"/>
    <w:rsid w:val="008F42D8"/>
    <w:rsid w:val="009023B9"/>
    <w:rsid w:val="0090261B"/>
    <w:rsid w:val="00903A21"/>
    <w:rsid w:val="00932F66"/>
    <w:rsid w:val="009400BA"/>
    <w:rsid w:val="00943563"/>
    <w:rsid w:val="00943E54"/>
    <w:rsid w:val="00951ADA"/>
    <w:rsid w:val="009645BC"/>
    <w:rsid w:val="00976B96"/>
    <w:rsid w:val="00994F31"/>
    <w:rsid w:val="009B1B0D"/>
    <w:rsid w:val="009D6349"/>
    <w:rsid w:val="009D67FD"/>
    <w:rsid w:val="009E6A27"/>
    <w:rsid w:val="009F0ACE"/>
    <w:rsid w:val="009F382B"/>
    <w:rsid w:val="009F3FAA"/>
    <w:rsid w:val="00A06A1D"/>
    <w:rsid w:val="00A530EE"/>
    <w:rsid w:val="00A62ECF"/>
    <w:rsid w:val="00A70646"/>
    <w:rsid w:val="00A77C80"/>
    <w:rsid w:val="00A955C7"/>
    <w:rsid w:val="00AF3112"/>
    <w:rsid w:val="00AF6A00"/>
    <w:rsid w:val="00B055C4"/>
    <w:rsid w:val="00B078E1"/>
    <w:rsid w:val="00B1496A"/>
    <w:rsid w:val="00B16165"/>
    <w:rsid w:val="00B2393C"/>
    <w:rsid w:val="00B27381"/>
    <w:rsid w:val="00B4517F"/>
    <w:rsid w:val="00B745F6"/>
    <w:rsid w:val="00B7525D"/>
    <w:rsid w:val="00B84D20"/>
    <w:rsid w:val="00B86C8C"/>
    <w:rsid w:val="00B952BF"/>
    <w:rsid w:val="00BB3729"/>
    <w:rsid w:val="00BD09B9"/>
    <w:rsid w:val="00BF07A6"/>
    <w:rsid w:val="00C160C2"/>
    <w:rsid w:val="00C35387"/>
    <w:rsid w:val="00C52CA7"/>
    <w:rsid w:val="00C860D6"/>
    <w:rsid w:val="00C875B4"/>
    <w:rsid w:val="00C94A09"/>
    <w:rsid w:val="00CF312E"/>
    <w:rsid w:val="00CF6050"/>
    <w:rsid w:val="00D313FD"/>
    <w:rsid w:val="00D31DA9"/>
    <w:rsid w:val="00D4068C"/>
    <w:rsid w:val="00D53332"/>
    <w:rsid w:val="00D9329C"/>
    <w:rsid w:val="00DA496E"/>
    <w:rsid w:val="00DC7AA2"/>
    <w:rsid w:val="00DF5E59"/>
    <w:rsid w:val="00E10959"/>
    <w:rsid w:val="00E2472E"/>
    <w:rsid w:val="00E32A10"/>
    <w:rsid w:val="00E43AD2"/>
    <w:rsid w:val="00E4400D"/>
    <w:rsid w:val="00E47AB6"/>
    <w:rsid w:val="00E51772"/>
    <w:rsid w:val="00E6490B"/>
    <w:rsid w:val="00EA763A"/>
    <w:rsid w:val="00EC756D"/>
    <w:rsid w:val="00ED63A5"/>
    <w:rsid w:val="00ED6D8E"/>
    <w:rsid w:val="00EE7145"/>
    <w:rsid w:val="00EF25A3"/>
    <w:rsid w:val="00F424AA"/>
    <w:rsid w:val="00F501F1"/>
    <w:rsid w:val="00F62D9B"/>
    <w:rsid w:val="00F75C80"/>
    <w:rsid w:val="00F77B2A"/>
    <w:rsid w:val="00F83C0D"/>
    <w:rsid w:val="00F87E24"/>
    <w:rsid w:val="00F93CA9"/>
    <w:rsid w:val="00FA4124"/>
    <w:rsid w:val="00FA5B55"/>
    <w:rsid w:val="00FB0CF5"/>
    <w:rsid w:val="00FB207D"/>
    <w:rsid w:val="00FB285D"/>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13CDE-51C5-40B1-8869-C530CE5D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Ahad</cp:lastModifiedBy>
  <cp:revision>4</cp:revision>
  <cp:lastPrinted>2014-03-31T06:49:00Z</cp:lastPrinted>
  <dcterms:created xsi:type="dcterms:W3CDTF">2015-03-05T13:12:00Z</dcterms:created>
  <dcterms:modified xsi:type="dcterms:W3CDTF">2015-03-05T13:18:00Z</dcterms:modified>
</cp:coreProperties>
</file>