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A19" w:rsidRDefault="00DC1A19" w:rsidP="002E0F38">
      <w:pPr>
        <w:spacing w:after="0" w:line="240" w:lineRule="auto"/>
        <w:jc w:val="both"/>
        <w:rPr>
          <w:rFonts w:cstheme="minorHAnsi"/>
          <w:b/>
          <w:noProof/>
          <w:sz w:val="32"/>
          <w:szCs w:val="26"/>
        </w:rPr>
      </w:pPr>
      <w:bookmarkStart w:id="0" w:name="_GoBack"/>
      <w:bookmarkEnd w:id="0"/>
      <w:r w:rsidRPr="00DC1A19">
        <w:rPr>
          <w:rFonts w:cstheme="minorHAnsi"/>
          <w:b/>
          <w:noProof/>
          <w:sz w:val="26"/>
          <w:szCs w:val="20"/>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-1302385</wp:posOffset>
                </wp:positionV>
                <wp:extent cx="5021580" cy="72390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5021580" cy="723900"/>
                        </a:xfrm>
                        <a:prstGeom prst="rect">
                          <a:avLst/>
                        </a:prstGeom>
                        <a:gradFill flip="none" rotWithShape="1">
                          <a:gsLst>
                            <a:gs pos="0">
                              <a:schemeClr val="bg1">
                                <a:lumMod val="95000"/>
                              </a:schemeClr>
                            </a:gs>
                            <a:gs pos="100000">
                              <a:schemeClr val="bg1"/>
                            </a:gs>
                          </a:gsLst>
                          <a:lin ang="0" scaled="1"/>
                          <a:tileRect/>
                        </a:gradFill>
                        <a:ln w="6350">
                          <a:noFill/>
                        </a:ln>
                      </wps:spPr>
                      <wps:txbx>
                        <w:txbxContent>
                          <w:p w:rsidR="00680F9E" w:rsidRPr="00E822B1" w:rsidRDefault="00680F9E" w:rsidP="00E822B1">
                            <w:pPr>
                              <w:spacing w:after="0" w:line="240" w:lineRule="auto"/>
                              <w:jc w:val="both"/>
                              <w:rPr>
                                <w:rFonts w:cstheme="minorHAnsi"/>
                                <w:b/>
                                <w:smallCaps/>
                                <w:color w:val="002060"/>
                                <w:sz w:val="56"/>
                                <w:szCs w:val="56"/>
                              </w:rPr>
                            </w:pPr>
                            <w:r w:rsidRPr="00E822B1">
                              <w:rPr>
                                <w:rFonts w:cstheme="minorHAnsi"/>
                                <w:b/>
                                <w:smallCaps/>
                                <w:color w:val="002060"/>
                                <w:sz w:val="56"/>
                                <w:szCs w:val="56"/>
                              </w:rPr>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4.8pt;margin-top:-102.55pt;width:395.4pt;height:5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" fillcolor="#f2f2f2 [3052]" stroked="f" strokeweight=".5pt">
                <v:fill color2="white [3212]" rotate="t" angle="90" focus="100%" type="gradient"/>
                <v:textbox>
                  <w:txbxContent>
                    <w:p w:rsidR="00680F9E" w:rsidRPr="00E822B1" w:rsidRDefault="00680F9E" w:rsidP="00E822B1">
                      <w:pPr>
                        <w:spacing w:after="0" w:line="240" w:lineRule="auto"/>
                        <w:jc w:val="both"/>
                        <w:rPr>
                          <w:rFonts w:cstheme="minorHAnsi"/>
                          <w:b/>
                          <w:smallCaps/>
                          <w:color w:val="002060"/>
                          <w:sz w:val="56"/>
                          <w:szCs w:val="56"/>
                        </w:rPr>
                      </w:pPr>
                      <w:r w:rsidRPr="00E822B1">
                        <w:rPr>
                          <w:rFonts w:cstheme="minorHAnsi"/>
                          <w:b/>
                          <w:smallCaps/>
                          <w:color w:val="002060"/>
                          <w:sz w:val="56"/>
                          <w:szCs w:val="56"/>
                        </w:rPr>
                        <w:t>Press Release</w:t>
                      </w:r>
                    </w:p>
                  </w:txbxContent>
                </v:textbox>
              </v:shape>
            </w:pict>
          </mc:Fallback>
        </mc:AlternateContent>
      </w:r>
    </w:p>
    <w:p w:rsidR="00EB4925" w:rsidRDefault="00EB4925" w:rsidP="006141BA">
      <w:pPr>
        <w:spacing w:after="120" w:line="240" w:lineRule="auto"/>
        <w:jc w:val="both"/>
        <w:rPr>
          <w:rFonts w:cstheme="minorHAnsi"/>
          <w:b/>
          <w:noProof/>
          <w:sz w:val="24"/>
          <w:szCs w:val="24"/>
          <w:u w:val="single"/>
        </w:rPr>
      </w:pPr>
      <w:r w:rsidRPr="00EB4925">
        <w:rPr>
          <w:rFonts w:cstheme="minorHAnsi"/>
          <w:b/>
          <w:noProof/>
          <w:sz w:val="24"/>
          <w:szCs w:val="24"/>
          <w:u w:val="single"/>
        </w:rPr>
        <w:t>Constitutional (Amendment) Bill, 2017</w:t>
      </w:r>
    </w:p>
    <w:p w:rsidR="001A1C90" w:rsidRPr="00EB4925" w:rsidRDefault="00EB4925" w:rsidP="00EB4925">
      <w:pPr>
        <w:spacing w:before="240" w:after="240" w:line="240" w:lineRule="auto"/>
        <w:jc w:val="both"/>
        <w:rPr>
          <w:rFonts w:cstheme="minorHAnsi"/>
          <w:b/>
          <w:sz w:val="34"/>
          <w:szCs w:val="34"/>
        </w:rPr>
      </w:pPr>
      <w:r w:rsidRPr="00EB4925">
        <w:rPr>
          <w:rFonts w:cstheme="minorHAnsi"/>
          <w:b/>
          <w:noProof/>
          <w:sz w:val="34"/>
          <w:szCs w:val="34"/>
        </w:rPr>
        <w:t>FAFEN Cautions against Deviations from Constitutional Framework</w:t>
      </w:r>
    </w:p>
    <w:p w:rsidR="00EB4925" w:rsidRPr="00EB4925" w:rsidRDefault="00EB4925" w:rsidP="00EB4925">
      <w:pPr>
        <w:pStyle w:val="ListParagraph"/>
        <w:numPr>
          <w:ilvl w:val="0"/>
          <w:numId w:val="2"/>
        </w:numPr>
        <w:spacing w:after="240" w:line="240" w:lineRule="auto"/>
        <w:jc w:val="both"/>
        <w:rPr>
          <w:rFonts w:cstheme="minorHAnsi"/>
          <w:bCs/>
          <w:sz w:val="28"/>
          <w:szCs w:val="28"/>
        </w:rPr>
      </w:pPr>
      <w:r w:rsidRPr="00EB4925">
        <w:rPr>
          <w:rFonts w:cstheme="minorHAnsi"/>
          <w:bCs/>
          <w:sz w:val="28"/>
          <w:szCs w:val="28"/>
        </w:rPr>
        <w:t>All federating units must be allocated seats on basis of their population</w:t>
      </w:r>
    </w:p>
    <w:p w:rsidR="00680F9E" w:rsidRPr="00EB4925" w:rsidRDefault="00EB4925" w:rsidP="00EB4925">
      <w:pPr>
        <w:pStyle w:val="ListParagraph"/>
        <w:numPr>
          <w:ilvl w:val="0"/>
          <w:numId w:val="2"/>
        </w:numPr>
        <w:spacing w:after="360" w:line="240" w:lineRule="auto"/>
        <w:jc w:val="both"/>
        <w:rPr>
          <w:rFonts w:cstheme="minorHAnsi"/>
          <w:bCs/>
          <w:sz w:val="28"/>
          <w:szCs w:val="28"/>
        </w:rPr>
      </w:pPr>
      <w:r w:rsidRPr="00EB4925">
        <w:rPr>
          <w:rFonts w:cstheme="minorHAnsi"/>
          <w:bCs/>
          <w:sz w:val="28"/>
          <w:szCs w:val="28"/>
        </w:rPr>
        <w:t>Calls for due diligence in the usage of provisional census results for delimitation</w:t>
      </w:r>
    </w:p>
    <w:p w:rsidR="00EB4925" w:rsidRPr="00EB4925" w:rsidRDefault="00EB4925" w:rsidP="00EB4925">
      <w:pPr>
        <w:spacing w:line="276" w:lineRule="auto"/>
        <w:jc w:val="both"/>
        <w:rPr>
          <w:rFonts w:eastAsia="Calibri" w:cs="Arial"/>
        </w:rPr>
      </w:pPr>
      <w:r w:rsidRPr="00EB4925">
        <w:rPr>
          <w:rFonts w:eastAsia="Calibri" w:cs="Arial"/>
        </w:rPr>
        <w:t xml:space="preserve">ISLAMABAD, November 14, 2017: Free and Fair Election Network (FAFEN) has expressed serious concerns over the ongoing efforts to amend the 1973 Constitution seeking deviation from the basic constitutional framework that requires allocation of seats among all federating units </w:t>
      </w:r>
      <w:proofErr w:type="gramStart"/>
      <w:r w:rsidRPr="00EB4925">
        <w:rPr>
          <w:rFonts w:eastAsia="Calibri" w:cs="Arial"/>
        </w:rPr>
        <w:t>on the basis of</w:t>
      </w:r>
      <w:proofErr w:type="gramEnd"/>
      <w:r w:rsidRPr="00EB4925">
        <w:rPr>
          <w:rFonts w:eastAsia="Calibri" w:cs="Arial"/>
        </w:rPr>
        <w:t xml:space="preserve"> population in accordance with the last preceding census.</w:t>
      </w:r>
    </w:p>
    <w:p w:rsidR="00EB4925" w:rsidRPr="00EB4925" w:rsidRDefault="00EB4925" w:rsidP="00EB4925">
      <w:pPr>
        <w:spacing w:line="276" w:lineRule="auto"/>
        <w:jc w:val="both"/>
        <w:rPr>
          <w:rFonts w:eastAsia="Calibri" w:cs="Arial"/>
        </w:rPr>
      </w:pPr>
      <w:r w:rsidRPr="00EB4925">
        <w:rPr>
          <w:rFonts w:eastAsia="Calibri" w:cs="Arial"/>
        </w:rPr>
        <w:t xml:space="preserve">The proposed amendment also seeks a one-off exemption from the requirement of carrying out fresh delimitation of constituencies </w:t>
      </w:r>
      <w:proofErr w:type="gramStart"/>
      <w:r w:rsidRPr="00EB4925">
        <w:rPr>
          <w:rFonts w:eastAsia="Calibri" w:cs="Arial"/>
        </w:rPr>
        <w:t>on the basis of</w:t>
      </w:r>
      <w:proofErr w:type="gramEnd"/>
      <w:r w:rsidRPr="00EB4925">
        <w:rPr>
          <w:rFonts w:eastAsia="Calibri" w:cs="Arial"/>
        </w:rPr>
        <w:t xml:space="preserve"> officially published census results. One-time provision is being sought to allow delimitation for the General Elections 2018 </w:t>
      </w:r>
      <w:proofErr w:type="gramStart"/>
      <w:r w:rsidRPr="00EB4925">
        <w:rPr>
          <w:rFonts w:eastAsia="Calibri" w:cs="Arial"/>
        </w:rPr>
        <w:t>on the basis of</w:t>
      </w:r>
      <w:proofErr w:type="gramEnd"/>
      <w:r w:rsidRPr="00EB4925">
        <w:rPr>
          <w:rFonts w:eastAsia="Calibri" w:cs="Arial"/>
        </w:rPr>
        <w:t xml:space="preserve"> the provisional results of the 6th Population and Housing Census 2017, which have been questioned by national and regional political parties for their accuracy and completeness. </w:t>
      </w:r>
    </w:p>
    <w:p w:rsidR="00EB4925" w:rsidRPr="00EB4925" w:rsidRDefault="00EB4925" w:rsidP="00EB4925">
      <w:pPr>
        <w:spacing w:line="276" w:lineRule="auto"/>
        <w:jc w:val="both"/>
        <w:rPr>
          <w:rFonts w:eastAsia="Calibri" w:cs="Arial"/>
        </w:rPr>
      </w:pPr>
      <w:r w:rsidRPr="00EB4925">
        <w:rPr>
          <w:rFonts w:eastAsia="Calibri" w:cs="Arial"/>
        </w:rPr>
        <w:t xml:space="preserve">According to the Constitutional (Amendment) Bill, 2017 introduced in the National Assembly (NA) earlier this month, the government is seeking to amend Clauses 3 and 5 of Article 51. The amendment being sought for Article 51 (5) will change the basic framework of the Constitution if it is passed. The existing Article 51 (5) requires that the “seats in the National Assembly shall be allocated to each Province, the Federally Administered Tribal Areas and the Federal Capital </w:t>
      </w:r>
      <w:proofErr w:type="gramStart"/>
      <w:r w:rsidRPr="00EB4925">
        <w:rPr>
          <w:rFonts w:eastAsia="Calibri" w:cs="Arial"/>
        </w:rPr>
        <w:t>on the basis of</w:t>
      </w:r>
      <w:proofErr w:type="gramEnd"/>
      <w:r w:rsidRPr="00EB4925">
        <w:rPr>
          <w:rFonts w:eastAsia="Calibri" w:cs="Arial"/>
        </w:rPr>
        <w:t xml:space="preserve"> population in accordance with the last preceding census officially published”. However, the proposed amendment exempts FATA from the principle of allocating general seats to the provinces in proportion to their populations.</w:t>
      </w:r>
    </w:p>
    <w:p w:rsidR="00EB4925" w:rsidRPr="00EB4925" w:rsidRDefault="00EB4925" w:rsidP="00EB4925">
      <w:pPr>
        <w:spacing w:line="276" w:lineRule="auto"/>
        <w:jc w:val="both"/>
        <w:rPr>
          <w:rFonts w:eastAsia="Calibri" w:cs="Arial"/>
        </w:rPr>
      </w:pPr>
      <w:r w:rsidRPr="00EB4925">
        <w:rPr>
          <w:rFonts w:eastAsia="Calibri" w:cs="Arial"/>
        </w:rPr>
        <w:t xml:space="preserve">Consequently, the re-allocation of seats, as evident from the proposed amendment to Article 51 (3), does not reflect the constitutional principle of parity by population. The proposed amendment seeks to retain FATA’s number of NA seats at 12 (which were provided for during the General Musharraf tenure) -- twice as many seats than would otherwise be allocated to it in proportion to its population. If this constitutional amendment is passed, Punjab will get three lesser general seats, Sindh two and Khyber Pakhtunkhwa (KP) one than what they would get if allocation is made on the basis existing provisions of Article 51 (5). In addition, seats reserved for women should also be allocated to FATA and Islamabad Capital Territory. </w:t>
      </w:r>
    </w:p>
    <w:p w:rsidR="006141BA" w:rsidRDefault="00EB4925" w:rsidP="00EB4925">
      <w:pPr>
        <w:spacing w:line="276" w:lineRule="auto"/>
        <w:jc w:val="both"/>
        <w:rPr>
          <w:rFonts w:eastAsia="Calibri" w:cs="Arial"/>
        </w:rPr>
      </w:pPr>
      <w:r w:rsidRPr="00EB4925">
        <w:rPr>
          <w:rFonts w:eastAsia="Calibri" w:cs="Arial"/>
        </w:rPr>
        <w:t>The following table shows the distribution of seats to territories in accordance with the true spirit of the existing constitutional principle as enunciated in Article 51 (5):</w:t>
      </w:r>
    </w:p>
    <w:p w:rsidR="00DC1A19" w:rsidRDefault="00DC1A19" w:rsidP="00241153">
      <w:pPr>
        <w:spacing w:after="120"/>
        <w:jc w:val="both"/>
        <w:rPr>
          <w:rFonts w:eastAsia="Calibri" w:cs="Arial"/>
        </w:rPr>
      </w:pPr>
    </w:p>
    <w:p w:rsidR="00DC1A19" w:rsidRDefault="00DC1A19" w:rsidP="00241153">
      <w:pPr>
        <w:spacing w:after="120"/>
        <w:jc w:val="both"/>
        <w:rPr>
          <w:rFonts w:eastAsia="Calibri" w:cs="Arial"/>
        </w:rPr>
      </w:pPr>
    </w:p>
    <w:p w:rsidR="00DC1A19" w:rsidRDefault="00DC1A19" w:rsidP="00241153">
      <w:pPr>
        <w:spacing w:after="120"/>
        <w:jc w:val="both"/>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347"/>
        <w:gridCol w:w="1059"/>
        <w:gridCol w:w="1294"/>
        <w:gridCol w:w="776"/>
        <w:gridCol w:w="1194"/>
        <w:gridCol w:w="732"/>
        <w:gridCol w:w="776"/>
        <w:gridCol w:w="1194"/>
      </w:tblGrid>
      <w:tr w:rsidR="005D64EF" w:rsidRPr="00112379" w:rsidTr="005D64EF">
        <w:trPr>
          <w:trHeight w:val="502"/>
        </w:trPr>
        <w:tc>
          <w:tcPr>
            <w:tcW w:w="0" w:type="auto"/>
            <w:vMerge w:val="restart"/>
            <w:shd w:val="clear" w:color="auto" w:fill="002060"/>
            <w:vAlign w:val="center"/>
            <w:hideMark/>
          </w:tcPr>
          <w:p w:rsidR="005D64EF" w:rsidRPr="005D64EF" w:rsidRDefault="005D64EF" w:rsidP="005D64EF">
            <w:pPr>
              <w:spacing w:after="0"/>
              <w:jc w:val="center"/>
              <w:rPr>
                <w:rFonts w:cs="Calibri"/>
                <w:b/>
                <w:bCs/>
                <w:color w:val="FFFFFF"/>
                <w:sz w:val="18"/>
                <w:szCs w:val="18"/>
                <w:lang w:eastAsia="en-GB"/>
              </w:rPr>
            </w:pPr>
            <w:r w:rsidRPr="005D64EF">
              <w:rPr>
                <w:rFonts w:cs="Calibri"/>
                <w:b/>
                <w:bCs/>
                <w:color w:val="FFFFFF"/>
                <w:sz w:val="18"/>
                <w:szCs w:val="18"/>
                <w:lang w:eastAsia="en-GB"/>
              </w:rPr>
              <w:lastRenderedPageBreak/>
              <w:t>Region</w:t>
            </w:r>
          </w:p>
        </w:tc>
        <w:tc>
          <w:tcPr>
            <w:tcW w:w="0" w:type="auto"/>
            <w:vMerge w:val="restart"/>
            <w:shd w:val="clear" w:color="auto" w:fill="002060"/>
            <w:vAlign w:val="center"/>
            <w:hideMark/>
          </w:tcPr>
          <w:p w:rsidR="005D64EF" w:rsidRPr="005D64EF" w:rsidRDefault="005D64EF" w:rsidP="005D64EF">
            <w:pPr>
              <w:spacing w:after="0"/>
              <w:jc w:val="center"/>
              <w:rPr>
                <w:rFonts w:cs="Calibri"/>
                <w:b/>
                <w:bCs/>
                <w:color w:val="FFFFFF"/>
                <w:sz w:val="18"/>
                <w:szCs w:val="18"/>
                <w:lang w:eastAsia="en-GB"/>
              </w:rPr>
            </w:pPr>
            <w:r w:rsidRPr="005D64EF">
              <w:rPr>
                <w:rFonts w:cs="Calibri"/>
                <w:b/>
                <w:bCs/>
                <w:color w:val="FFFFFF"/>
                <w:sz w:val="18"/>
                <w:szCs w:val="18"/>
                <w:lang w:eastAsia="en-GB"/>
              </w:rPr>
              <w:t>Total Population - Census 2017</w:t>
            </w:r>
          </w:p>
        </w:tc>
        <w:tc>
          <w:tcPr>
            <w:tcW w:w="0" w:type="auto"/>
            <w:vMerge w:val="restart"/>
            <w:shd w:val="clear" w:color="auto" w:fill="002060"/>
            <w:vAlign w:val="center"/>
            <w:hideMark/>
          </w:tcPr>
          <w:p w:rsidR="005D64EF" w:rsidRPr="005D64EF" w:rsidRDefault="005D64EF" w:rsidP="005D64EF">
            <w:pPr>
              <w:spacing w:after="0"/>
              <w:jc w:val="center"/>
              <w:rPr>
                <w:rFonts w:cs="Calibri"/>
                <w:b/>
                <w:bCs/>
                <w:color w:val="FFFFFF"/>
                <w:sz w:val="18"/>
                <w:szCs w:val="18"/>
                <w:lang w:eastAsia="en-GB"/>
              </w:rPr>
            </w:pPr>
            <w:r w:rsidRPr="005D64EF">
              <w:rPr>
                <w:rFonts w:cs="Calibri"/>
                <w:b/>
                <w:bCs/>
                <w:color w:val="FFFFFF"/>
                <w:sz w:val="18"/>
                <w:szCs w:val="18"/>
                <w:lang w:eastAsia="en-GB"/>
              </w:rPr>
              <w:t xml:space="preserve">Percentage </w:t>
            </w:r>
            <w:r w:rsidRPr="005D64EF">
              <w:rPr>
                <w:rFonts w:cs="Calibri"/>
                <w:b/>
                <w:bCs/>
                <w:color w:val="FFFFFF"/>
                <w:sz w:val="18"/>
                <w:szCs w:val="18"/>
                <w:lang w:eastAsia="en-GB"/>
              </w:rPr>
              <w:br/>
              <w:t>of Population</w:t>
            </w:r>
          </w:p>
        </w:tc>
        <w:tc>
          <w:tcPr>
            <w:tcW w:w="0" w:type="auto"/>
            <w:gridSpan w:val="6"/>
            <w:shd w:val="clear" w:color="auto" w:fill="002060"/>
            <w:vAlign w:val="center"/>
          </w:tcPr>
          <w:p w:rsidR="005D64EF" w:rsidRPr="005D64EF" w:rsidRDefault="005D64EF" w:rsidP="005D64EF">
            <w:pPr>
              <w:spacing w:after="0"/>
              <w:jc w:val="center"/>
              <w:rPr>
                <w:rFonts w:cs="Calibri"/>
                <w:b/>
                <w:bCs/>
                <w:color w:val="FFFFFF"/>
                <w:sz w:val="18"/>
                <w:szCs w:val="18"/>
                <w:lang w:eastAsia="en-GB"/>
              </w:rPr>
            </w:pPr>
            <w:r w:rsidRPr="005D64EF">
              <w:rPr>
                <w:rFonts w:cs="Calibri"/>
                <w:b/>
                <w:bCs/>
                <w:color w:val="FFFFFF"/>
                <w:sz w:val="18"/>
                <w:szCs w:val="18"/>
                <w:lang w:eastAsia="en-GB"/>
              </w:rPr>
              <w:t>Allocation of Seats Under Clause 5 of Article 51</w:t>
            </w:r>
          </w:p>
        </w:tc>
      </w:tr>
      <w:tr w:rsidR="005D64EF" w:rsidRPr="00112379" w:rsidTr="00F804A1">
        <w:trPr>
          <w:trHeight w:val="420"/>
        </w:trPr>
        <w:tc>
          <w:tcPr>
            <w:tcW w:w="0" w:type="auto"/>
            <w:vMerge/>
            <w:shd w:val="clear" w:color="5B9BD5" w:fill="5B9BD5"/>
            <w:vAlign w:val="center"/>
          </w:tcPr>
          <w:p w:rsidR="005D64EF" w:rsidRPr="005D64EF" w:rsidRDefault="005D64EF" w:rsidP="005D64EF">
            <w:pPr>
              <w:spacing w:after="0"/>
              <w:jc w:val="center"/>
              <w:rPr>
                <w:rFonts w:cs="Calibri"/>
                <w:b/>
                <w:bCs/>
                <w:color w:val="FFFFFF"/>
                <w:sz w:val="18"/>
                <w:szCs w:val="18"/>
                <w:lang w:eastAsia="en-GB"/>
              </w:rPr>
            </w:pPr>
          </w:p>
        </w:tc>
        <w:tc>
          <w:tcPr>
            <w:tcW w:w="0" w:type="auto"/>
            <w:vMerge/>
            <w:shd w:val="clear" w:color="5B9BD5" w:fill="5B9BD5"/>
            <w:vAlign w:val="center"/>
          </w:tcPr>
          <w:p w:rsidR="005D64EF" w:rsidRPr="005D64EF" w:rsidRDefault="005D64EF" w:rsidP="005D64EF">
            <w:pPr>
              <w:spacing w:after="0"/>
              <w:jc w:val="center"/>
              <w:rPr>
                <w:rFonts w:cs="Calibri"/>
                <w:b/>
                <w:bCs/>
                <w:color w:val="FFFFFF"/>
                <w:sz w:val="18"/>
                <w:szCs w:val="18"/>
                <w:lang w:eastAsia="en-GB"/>
              </w:rPr>
            </w:pPr>
          </w:p>
        </w:tc>
        <w:tc>
          <w:tcPr>
            <w:tcW w:w="0" w:type="auto"/>
            <w:vMerge/>
            <w:shd w:val="clear" w:color="5B9BD5" w:fill="5B9BD5"/>
            <w:vAlign w:val="center"/>
          </w:tcPr>
          <w:p w:rsidR="005D64EF" w:rsidRPr="005D64EF" w:rsidRDefault="005D64EF" w:rsidP="005D64EF">
            <w:pPr>
              <w:spacing w:after="0"/>
              <w:jc w:val="center"/>
              <w:rPr>
                <w:rFonts w:cs="Calibri"/>
                <w:b/>
                <w:bCs/>
                <w:color w:val="FFFFFF"/>
                <w:sz w:val="18"/>
                <w:szCs w:val="18"/>
                <w:lang w:eastAsia="en-GB"/>
              </w:rPr>
            </w:pPr>
          </w:p>
        </w:tc>
        <w:tc>
          <w:tcPr>
            <w:tcW w:w="0" w:type="auto"/>
            <w:gridSpan w:val="2"/>
            <w:shd w:val="clear" w:color="5B9BD5" w:fill="5B9BD5"/>
            <w:vAlign w:val="center"/>
          </w:tcPr>
          <w:p w:rsidR="005D64EF" w:rsidRPr="005D64EF" w:rsidRDefault="005D64EF" w:rsidP="005D64EF">
            <w:pPr>
              <w:spacing w:after="0"/>
              <w:jc w:val="center"/>
              <w:rPr>
                <w:rFonts w:cs="Calibri"/>
                <w:b/>
                <w:bCs/>
                <w:color w:val="FFFFFF"/>
                <w:sz w:val="18"/>
                <w:szCs w:val="18"/>
                <w:lang w:eastAsia="en-GB"/>
              </w:rPr>
            </w:pPr>
            <w:r w:rsidRPr="005D64EF">
              <w:rPr>
                <w:rFonts w:cs="Calibri"/>
                <w:b/>
                <w:bCs/>
                <w:color w:val="FFFFFF"/>
                <w:sz w:val="18"/>
                <w:szCs w:val="18"/>
                <w:lang w:eastAsia="en-GB"/>
              </w:rPr>
              <w:t>General Seats</w:t>
            </w:r>
          </w:p>
        </w:tc>
        <w:tc>
          <w:tcPr>
            <w:tcW w:w="0" w:type="auto"/>
            <w:shd w:val="clear" w:color="5B9BD5" w:fill="5B9BD5"/>
          </w:tcPr>
          <w:p w:rsidR="005D64EF" w:rsidRPr="005D64EF" w:rsidRDefault="005D64EF" w:rsidP="005D64EF">
            <w:pPr>
              <w:spacing w:after="0"/>
              <w:jc w:val="center"/>
              <w:rPr>
                <w:rFonts w:cs="Calibri"/>
                <w:b/>
                <w:bCs/>
                <w:color w:val="FFFFFF"/>
                <w:sz w:val="18"/>
                <w:szCs w:val="18"/>
                <w:lang w:eastAsia="en-GB"/>
              </w:rPr>
            </w:pPr>
          </w:p>
        </w:tc>
        <w:tc>
          <w:tcPr>
            <w:tcW w:w="0" w:type="auto"/>
            <w:gridSpan w:val="2"/>
            <w:shd w:val="clear" w:color="5B9BD5" w:fill="5B9BD5"/>
            <w:vAlign w:val="center"/>
          </w:tcPr>
          <w:p w:rsidR="005D64EF" w:rsidRPr="005D64EF" w:rsidRDefault="005D64EF" w:rsidP="005D64EF">
            <w:pPr>
              <w:spacing w:after="0"/>
              <w:jc w:val="center"/>
              <w:rPr>
                <w:rFonts w:cs="Calibri"/>
                <w:b/>
                <w:bCs/>
                <w:color w:val="FFFFFF"/>
                <w:sz w:val="18"/>
                <w:szCs w:val="18"/>
                <w:lang w:eastAsia="en-GB"/>
              </w:rPr>
            </w:pPr>
            <w:r w:rsidRPr="005D64EF">
              <w:rPr>
                <w:rFonts w:cs="Calibri"/>
                <w:b/>
                <w:bCs/>
                <w:color w:val="FFFFFF"/>
                <w:sz w:val="18"/>
                <w:szCs w:val="18"/>
                <w:lang w:eastAsia="en-GB"/>
              </w:rPr>
              <w:t>Women Reserved Seat</w:t>
            </w:r>
          </w:p>
        </w:tc>
        <w:tc>
          <w:tcPr>
            <w:tcW w:w="0" w:type="auto"/>
            <w:shd w:val="clear" w:color="5B9BD5" w:fill="5B9BD5"/>
          </w:tcPr>
          <w:p w:rsidR="005D64EF" w:rsidRPr="005D64EF" w:rsidRDefault="005D64EF" w:rsidP="005D64EF">
            <w:pPr>
              <w:spacing w:after="0"/>
              <w:jc w:val="center"/>
              <w:rPr>
                <w:rFonts w:cs="Calibri"/>
                <w:b/>
                <w:bCs/>
                <w:color w:val="FFFFFF"/>
                <w:sz w:val="18"/>
                <w:szCs w:val="18"/>
                <w:lang w:eastAsia="en-GB"/>
              </w:rPr>
            </w:pPr>
          </w:p>
        </w:tc>
      </w:tr>
      <w:tr w:rsidR="005D64EF" w:rsidRPr="00112379" w:rsidTr="005D64EF">
        <w:trPr>
          <w:trHeight w:val="531"/>
        </w:trPr>
        <w:tc>
          <w:tcPr>
            <w:tcW w:w="0" w:type="auto"/>
            <w:vMerge/>
            <w:vAlign w:val="center"/>
            <w:hideMark/>
          </w:tcPr>
          <w:p w:rsidR="005D64EF" w:rsidRPr="00824551" w:rsidRDefault="005D64EF" w:rsidP="005D64EF">
            <w:pPr>
              <w:spacing w:after="0"/>
              <w:rPr>
                <w:rFonts w:cs="Calibri"/>
                <w:b/>
                <w:bCs/>
                <w:color w:val="FFFFFF"/>
                <w:sz w:val="16"/>
                <w:lang w:eastAsia="en-GB"/>
              </w:rPr>
            </w:pPr>
          </w:p>
        </w:tc>
        <w:tc>
          <w:tcPr>
            <w:tcW w:w="0" w:type="auto"/>
            <w:vMerge/>
            <w:vAlign w:val="center"/>
            <w:hideMark/>
          </w:tcPr>
          <w:p w:rsidR="005D64EF" w:rsidRPr="00824551" w:rsidRDefault="005D64EF" w:rsidP="005D64EF">
            <w:pPr>
              <w:spacing w:after="0"/>
              <w:rPr>
                <w:rFonts w:cs="Calibri"/>
                <w:b/>
                <w:bCs/>
                <w:color w:val="FFFFFF"/>
                <w:sz w:val="16"/>
                <w:lang w:eastAsia="en-GB"/>
              </w:rPr>
            </w:pPr>
          </w:p>
        </w:tc>
        <w:tc>
          <w:tcPr>
            <w:tcW w:w="0" w:type="auto"/>
            <w:vMerge/>
            <w:vAlign w:val="center"/>
            <w:hideMark/>
          </w:tcPr>
          <w:p w:rsidR="005D64EF" w:rsidRPr="00824551" w:rsidRDefault="005D64EF" w:rsidP="005D64EF">
            <w:pPr>
              <w:spacing w:after="0"/>
              <w:rPr>
                <w:rFonts w:cs="Calibri"/>
                <w:b/>
                <w:bCs/>
                <w:color w:val="FFFFFF"/>
                <w:sz w:val="16"/>
                <w:lang w:eastAsia="en-GB"/>
              </w:rPr>
            </w:pPr>
          </w:p>
        </w:tc>
        <w:tc>
          <w:tcPr>
            <w:tcW w:w="0" w:type="auto"/>
            <w:shd w:val="clear" w:color="auto" w:fill="F2F2F2" w:themeFill="background1" w:themeFillShade="F2"/>
            <w:vAlign w:val="center"/>
            <w:hideMark/>
          </w:tcPr>
          <w:p w:rsidR="005D64EF" w:rsidRPr="005D64EF" w:rsidRDefault="005D64EF" w:rsidP="005D64EF">
            <w:pPr>
              <w:spacing w:after="0"/>
              <w:jc w:val="center"/>
              <w:rPr>
                <w:rFonts w:cs="Calibri"/>
                <w:b/>
                <w:bCs/>
                <w:color w:val="002060"/>
                <w:sz w:val="16"/>
                <w:lang w:eastAsia="en-GB"/>
              </w:rPr>
            </w:pPr>
            <w:r w:rsidRPr="005D64EF">
              <w:rPr>
                <w:rFonts w:cs="Calibri"/>
                <w:b/>
                <w:bCs/>
                <w:color w:val="002060"/>
                <w:sz w:val="16"/>
                <w:lang w:eastAsia="en-GB"/>
              </w:rPr>
              <w:t>Current Seats in NA with % Share</w:t>
            </w:r>
          </w:p>
        </w:tc>
        <w:tc>
          <w:tcPr>
            <w:tcW w:w="0" w:type="auto"/>
            <w:shd w:val="clear" w:color="auto" w:fill="F2F2F2" w:themeFill="background1" w:themeFillShade="F2"/>
            <w:vAlign w:val="center"/>
            <w:hideMark/>
          </w:tcPr>
          <w:p w:rsidR="005D64EF" w:rsidRPr="005D64EF" w:rsidRDefault="005D64EF" w:rsidP="005D64EF">
            <w:pPr>
              <w:spacing w:after="0"/>
              <w:jc w:val="center"/>
              <w:rPr>
                <w:rFonts w:cs="Calibri"/>
                <w:b/>
                <w:bCs/>
                <w:color w:val="002060"/>
                <w:sz w:val="16"/>
                <w:lang w:eastAsia="en-GB"/>
              </w:rPr>
            </w:pPr>
            <w:r w:rsidRPr="005D64EF">
              <w:rPr>
                <w:rFonts w:cs="Calibri"/>
                <w:b/>
                <w:bCs/>
                <w:color w:val="002060"/>
                <w:sz w:val="16"/>
                <w:lang w:eastAsia="en-GB"/>
              </w:rPr>
              <w:t>NA Seats after Census 2017 (In true spirit of existing Article 51 (5))</w:t>
            </w:r>
          </w:p>
        </w:tc>
        <w:tc>
          <w:tcPr>
            <w:tcW w:w="0" w:type="auto"/>
            <w:shd w:val="clear" w:color="auto" w:fill="F2F2F2" w:themeFill="background1" w:themeFillShade="F2"/>
            <w:vAlign w:val="center"/>
          </w:tcPr>
          <w:p w:rsidR="005D64EF" w:rsidRPr="005D64EF" w:rsidRDefault="005D64EF" w:rsidP="005D64EF">
            <w:pPr>
              <w:spacing w:after="0"/>
              <w:jc w:val="center"/>
              <w:rPr>
                <w:rFonts w:cs="Calibri"/>
                <w:b/>
                <w:bCs/>
                <w:color w:val="002060"/>
                <w:sz w:val="16"/>
                <w:lang w:eastAsia="en-GB"/>
              </w:rPr>
            </w:pPr>
            <w:r w:rsidRPr="005D64EF">
              <w:rPr>
                <w:rFonts w:cs="Calibri"/>
                <w:b/>
                <w:bCs/>
                <w:color w:val="002060"/>
                <w:sz w:val="16"/>
                <w:lang w:eastAsia="en-GB"/>
              </w:rPr>
              <w:t>Seats proposed by the Constitutional Amendment Bill, 2017</w:t>
            </w:r>
          </w:p>
        </w:tc>
        <w:tc>
          <w:tcPr>
            <w:tcW w:w="0" w:type="auto"/>
            <w:shd w:val="clear" w:color="auto" w:fill="F2F2F2" w:themeFill="background1" w:themeFillShade="F2"/>
            <w:vAlign w:val="center"/>
            <w:hideMark/>
          </w:tcPr>
          <w:p w:rsidR="005D64EF" w:rsidRPr="005D64EF" w:rsidRDefault="005D64EF" w:rsidP="005D64EF">
            <w:pPr>
              <w:spacing w:after="0"/>
              <w:jc w:val="center"/>
              <w:rPr>
                <w:rFonts w:cs="Calibri"/>
                <w:b/>
                <w:bCs/>
                <w:color w:val="002060"/>
                <w:sz w:val="16"/>
                <w:lang w:eastAsia="en-GB"/>
              </w:rPr>
            </w:pPr>
            <w:r w:rsidRPr="005D64EF">
              <w:rPr>
                <w:rFonts w:cs="Calibri"/>
                <w:b/>
                <w:bCs/>
                <w:color w:val="002060"/>
                <w:sz w:val="16"/>
                <w:lang w:eastAsia="en-GB"/>
              </w:rPr>
              <w:t>Current Seats in NA</w:t>
            </w:r>
          </w:p>
        </w:tc>
        <w:tc>
          <w:tcPr>
            <w:tcW w:w="0" w:type="auto"/>
            <w:shd w:val="clear" w:color="auto" w:fill="F2F2F2" w:themeFill="background1" w:themeFillShade="F2"/>
            <w:vAlign w:val="center"/>
            <w:hideMark/>
          </w:tcPr>
          <w:p w:rsidR="005D64EF" w:rsidRPr="005D64EF" w:rsidRDefault="005D64EF" w:rsidP="005D64EF">
            <w:pPr>
              <w:spacing w:after="0"/>
              <w:jc w:val="center"/>
              <w:rPr>
                <w:rFonts w:cs="Calibri"/>
                <w:b/>
                <w:bCs/>
                <w:color w:val="002060"/>
                <w:sz w:val="16"/>
                <w:lang w:eastAsia="en-GB"/>
              </w:rPr>
            </w:pPr>
            <w:r w:rsidRPr="005D64EF">
              <w:rPr>
                <w:rFonts w:cs="Calibri"/>
                <w:b/>
                <w:bCs/>
                <w:color w:val="002060"/>
                <w:sz w:val="16"/>
                <w:lang w:eastAsia="en-GB"/>
              </w:rPr>
              <w:t>NA Seats after Census 2017 (In true spirit of existing Article 51 (5))</w:t>
            </w:r>
          </w:p>
        </w:tc>
        <w:tc>
          <w:tcPr>
            <w:tcW w:w="0" w:type="auto"/>
            <w:shd w:val="clear" w:color="auto" w:fill="F2F2F2" w:themeFill="background1" w:themeFillShade="F2"/>
            <w:vAlign w:val="center"/>
          </w:tcPr>
          <w:p w:rsidR="005D64EF" w:rsidRPr="005D64EF" w:rsidRDefault="005D64EF" w:rsidP="005D64EF">
            <w:pPr>
              <w:spacing w:after="0"/>
              <w:jc w:val="center"/>
              <w:rPr>
                <w:rFonts w:cs="Calibri"/>
                <w:b/>
                <w:bCs/>
                <w:color w:val="002060"/>
                <w:sz w:val="16"/>
                <w:lang w:eastAsia="en-GB"/>
              </w:rPr>
            </w:pPr>
            <w:r w:rsidRPr="005D64EF">
              <w:rPr>
                <w:rFonts w:cs="Calibri"/>
                <w:b/>
                <w:bCs/>
                <w:color w:val="002060"/>
                <w:sz w:val="16"/>
                <w:lang w:eastAsia="en-GB"/>
              </w:rPr>
              <w:t>Seats proposed by the Constitutional Amendment Bill, 2017</w:t>
            </w:r>
          </w:p>
        </w:tc>
      </w:tr>
      <w:tr w:rsidR="005D64EF" w:rsidRPr="00112379" w:rsidTr="005D64EF">
        <w:trPr>
          <w:trHeight w:val="395"/>
        </w:trPr>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KP</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30,881,058</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14.9%</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35</w:t>
            </w:r>
            <w:r w:rsidRPr="005D64EF">
              <w:rPr>
                <w:rFonts w:cstheme="minorHAnsi"/>
                <w:i/>
                <w:iCs/>
                <w:lang w:eastAsia="en-GB"/>
              </w:rPr>
              <w:t xml:space="preserve"> (12.9%)</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40</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39</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8</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9</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9</w:t>
            </w:r>
          </w:p>
        </w:tc>
      </w:tr>
      <w:tr w:rsidR="005D64EF" w:rsidRPr="00112379" w:rsidTr="005D64EF">
        <w:trPr>
          <w:trHeight w:val="395"/>
        </w:trPr>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FATA</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4,643,989</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2.2%</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12</w:t>
            </w:r>
            <w:r w:rsidRPr="005D64EF">
              <w:rPr>
                <w:rFonts w:cstheme="minorHAnsi"/>
                <w:i/>
                <w:iCs/>
                <w:lang w:eastAsia="en-GB"/>
              </w:rPr>
              <w:t xml:space="preserve"> (4.4%)</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6</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12</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w:t>
            </w:r>
          </w:p>
        </w:tc>
      </w:tr>
      <w:tr w:rsidR="005D64EF" w:rsidRPr="00112379" w:rsidTr="005D64EF">
        <w:trPr>
          <w:trHeight w:val="395"/>
        </w:trPr>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ICT</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2,006,572</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1.0%</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2</w:t>
            </w:r>
            <w:r w:rsidRPr="005D64EF">
              <w:rPr>
                <w:rFonts w:cstheme="minorHAnsi"/>
                <w:i/>
                <w:iCs/>
                <w:lang w:eastAsia="en-GB"/>
              </w:rPr>
              <w:t xml:space="preserve"> (0.7%)</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3</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3</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w:t>
            </w:r>
          </w:p>
        </w:tc>
      </w:tr>
      <w:tr w:rsidR="005D64EF" w:rsidRPr="00112379" w:rsidTr="005D64EF">
        <w:trPr>
          <w:trHeight w:val="395"/>
        </w:trPr>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Punjab</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110,012,442</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52.9%</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148</w:t>
            </w:r>
            <w:r w:rsidRPr="005D64EF">
              <w:rPr>
                <w:rFonts w:cstheme="minorHAnsi"/>
                <w:i/>
                <w:iCs/>
                <w:lang w:eastAsia="en-GB"/>
              </w:rPr>
              <w:t xml:space="preserve"> (54.4%)</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144</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141</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35</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32</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33</w:t>
            </w:r>
          </w:p>
        </w:tc>
      </w:tr>
      <w:tr w:rsidR="005D64EF" w:rsidRPr="00112379" w:rsidTr="005D64EF">
        <w:trPr>
          <w:trHeight w:val="395"/>
        </w:trPr>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Sindh</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47,886,051</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23.0%</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61</w:t>
            </w:r>
            <w:r w:rsidRPr="005D64EF">
              <w:rPr>
                <w:rFonts w:cstheme="minorHAnsi"/>
                <w:i/>
                <w:iCs/>
                <w:lang w:eastAsia="en-GB"/>
              </w:rPr>
              <w:t xml:space="preserve"> (22.4%)</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63</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61</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14</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14</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14</w:t>
            </w:r>
          </w:p>
        </w:tc>
      </w:tr>
      <w:tr w:rsidR="005D64EF" w:rsidRPr="00112379" w:rsidTr="005D64EF">
        <w:trPr>
          <w:trHeight w:val="395"/>
        </w:trPr>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proofErr w:type="spellStart"/>
            <w:r w:rsidRPr="005D64EF">
              <w:rPr>
                <w:rFonts w:cstheme="minorHAnsi"/>
                <w:color w:val="000000"/>
                <w:lang w:eastAsia="en-GB"/>
              </w:rPr>
              <w:t>Balochistan</w:t>
            </w:r>
            <w:proofErr w:type="spellEnd"/>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12,344,408</w:t>
            </w:r>
          </w:p>
        </w:tc>
        <w:tc>
          <w:tcPr>
            <w:tcW w:w="0" w:type="auto"/>
            <w:shd w:val="clear" w:color="auto" w:fill="auto"/>
            <w:noWrap/>
            <w:vAlign w:val="center"/>
            <w:hideMark/>
          </w:tcPr>
          <w:p w:rsidR="005D64EF" w:rsidRPr="005D64EF" w:rsidRDefault="005D64EF" w:rsidP="005D64EF">
            <w:pPr>
              <w:spacing w:after="0"/>
              <w:jc w:val="center"/>
              <w:rPr>
                <w:rFonts w:cstheme="minorHAnsi"/>
                <w:color w:val="000000"/>
                <w:lang w:eastAsia="en-GB"/>
              </w:rPr>
            </w:pPr>
            <w:r w:rsidRPr="005D64EF">
              <w:rPr>
                <w:rFonts w:cstheme="minorHAnsi"/>
                <w:color w:val="000000"/>
                <w:lang w:eastAsia="en-GB"/>
              </w:rPr>
              <w:t>5.9%</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14</w:t>
            </w:r>
            <w:r w:rsidRPr="005D64EF">
              <w:rPr>
                <w:rFonts w:cstheme="minorHAnsi"/>
                <w:i/>
                <w:iCs/>
                <w:lang w:eastAsia="en-GB"/>
              </w:rPr>
              <w:t xml:space="preserve"> (5.1%)</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16</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16</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3</w:t>
            </w:r>
          </w:p>
        </w:tc>
        <w:tc>
          <w:tcPr>
            <w:tcW w:w="0" w:type="auto"/>
            <w:shd w:val="clear" w:color="auto" w:fill="auto"/>
            <w:noWrap/>
            <w:vAlign w:val="center"/>
            <w:hideMark/>
          </w:tcPr>
          <w:p w:rsidR="005D64EF" w:rsidRPr="005D64EF" w:rsidRDefault="005D64EF" w:rsidP="005D64EF">
            <w:pPr>
              <w:spacing w:after="0"/>
              <w:jc w:val="center"/>
              <w:rPr>
                <w:rFonts w:cstheme="minorHAnsi"/>
                <w:lang w:eastAsia="en-GB"/>
              </w:rPr>
            </w:pPr>
            <w:r w:rsidRPr="005D64EF">
              <w:rPr>
                <w:rFonts w:cstheme="minorHAnsi"/>
                <w:lang w:eastAsia="en-GB"/>
              </w:rPr>
              <w:t>3</w:t>
            </w:r>
          </w:p>
        </w:tc>
        <w:tc>
          <w:tcPr>
            <w:tcW w:w="0" w:type="auto"/>
            <w:vAlign w:val="center"/>
          </w:tcPr>
          <w:p w:rsidR="005D64EF" w:rsidRPr="005D64EF" w:rsidRDefault="005D64EF" w:rsidP="005D64EF">
            <w:pPr>
              <w:spacing w:after="0"/>
              <w:jc w:val="center"/>
              <w:rPr>
                <w:rFonts w:cstheme="minorHAnsi"/>
                <w:lang w:eastAsia="en-GB"/>
              </w:rPr>
            </w:pPr>
            <w:r w:rsidRPr="005D64EF">
              <w:rPr>
                <w:rFonts w:cstheme="minorHAnsi"/>
                <w:lang w:eastAsia="en-GB"/>
              </w:rPr>
              <w:t>4</w:t>
            </w:r>
          </w:p>
        </w:tc>
      </w:tr>
      <w:tr w:rsidR="005D64EF" w:rsidRPr="00112379" w:rsidTr="005D64EF">
        <w:trPr>
          <w:trHeight w:val="395"/>
        </w:trPr>
        <w:tc>
          <w:tcPr>
            <w:tcW w:w="0" w:type="auto"/>
            <w:shd w:val="clear" w:color="auto" w:fill="F2F2F2" w:themeFill="background1" w:themeFillShade="F2"/>
            <w:noWrap/>
            <w:vAlign w:val="center"/>
            <w:hideMark/>
          </w:tcPr>
          <w:p w:rsidR="005D64EF" w:rsidRPr="005D64EF" w:rsidRDefault="005D64EF" w:rsidP="005D64EF">
            <w:pPr>
              <w:spacing w:after="0"/>
              <w:jc w:val="center"/>
              <w:rPr>
                <w:rFonts w:cstheme="minorHAnsi"/>
                <w:b/>
                <w:bCs/>
                <w:color w:val="000000"/>
                <w:lang w:eastAsia="en-GB"/>
              </w:rPr>
            </w:pPr>
            <w:r w:rsidRPr="005D64EF">
              <w:rPr>
                <w:rFonts w:cstheme="minorHAnsi"/>
                <w:b/>
                <w:bCs/>
                <w:color w:val="000000"/>
                <w:lang w:eastAsia="en-GB"/>
              </w:rPr>
              <w:t>Total</w:t>
            </w:r>
          </w:p>
        </w:tc>
        <w:tc>
          <w:tcPr>
            <w:tcW w:w="0" w:type="auto"/>
            <w:shd w:val="clear" w:color="auto" w:fill="F2F2F2" w:themeFill="background1" w:themeFillShade="F2"/>
            <w:noWrap/>
            <w:vAlign w:val="center"/>
            <w:hideMark/>
          </w:tcPr>
          <w:p w:rsidR="005D64EF" w:rsidRPr="005D64EF" w:rsidRDefault="005D64EF" w:rsidP="005D64EF">
            <w:pPr>
              <w:spacing w:after="0"/>
              <w:jc w:val="center"/>
              <w:rPr>
                <w:rFonts w:cstheme="minorHAnsi"/>
                <w:b/>
                <w:bCs/>
                <w:color w:val="000000"/>
                <w:lang w:eastAsia="en-GB"/>
              </w:rPr>
            </w:pPr>
            <w:r w:rsidRPr="005D64EF">
              <w:rPr>
                <w:rFonts w:cstheme="minorHAnsi"/>
                <w:b/>
                <w:bCs/>
                <w:color w:val="000000"/>
                <w:lang w:eastAsia="en-GB"/>
              </w:rPr>
              <w:t>207,774,520</w:t>
            </w:r>
          </w:p>
        </w:tc>
        <w:tc>
          <w:tcPr>
            <w:tcW w:w="0" w:type="auto"/>
            <w:shd w:val="clear" w:color="auto" w:fill="F2F2F2" w:themeFill="background1" w:themeFillShade="F2"/>
            <w:noWrap/>
            <w:vAlign w:val="center"/>
            <w:hideMark/>
          </w:tcPr>
          <w:p w:rsidR="005D64EF" w:rsidRPr="005D64EF" w:rsidRDefault="005D64EF" w:rsidP="005D64EF">
            <w:pPr>
              <w:spacing w:after="0"/>
              <w:jc w:val="center"/>
              <w:rPr>
                <w:rFonts w:cstheme="minorHAnsi"/>
                <w:b/>
                <w:bCs/>
                <w:color w:val="000000"/>
                <w:lang w:eastAsia="en-GB"/>
              </w:rPr>
            </w:pPr>
            <w:r w:rsidRPr="005D64EF">
              <w:rPr>
                <w:rFonts w:cstheme="minorHAnsi"/>
                <w:b/>
                <w:bCs/>
                <w:color w:val="000000"/>
                <w:lang w:eastAsia="en-GB"/>
              </w:rPr>
              <w:t>100.0%</w:t>
            </w:r>
          </w:p>
        </w:tc>
        <w:tc>
          <w:tcPr>
            <w:tcW w:w="0" w:type="auto"/>
            <w:shd w:val="clear" w:color="auto" w:fill="F2F2F2" w:themeFill="background1" w:themeFillShade="F2"/>
            <w:noWrap/>
            <w:vAlign w:val="center"/>
            <w:hideMark/>
          </w:tcPr>
          <w:p w:rsidR="005D64EF" w:rsidRPr="005D64EF" w:rsidRDefault="005D64EF" w:rsidP="005D64EF">
            <w:pPr>
              <w:spacing w:after="0"/>
              <w:jc w:val="center"/>
              <w:rPr>
                <w:rFonts w:cstheme="minorHAnsi"/>
                <w:b/>
                <w:bCs/>
                <w:lang w:eastAsia="en-GB"/>
              </w:rPr>
            </w:pPr>
            <w:r w:rsidRPr="005D64EF">
              <w:rPr>
                <w:rFonts w:cstheme="minorHAnsi"/>
                <w:b/>
                <w:bCs/>
                <w:lang w:eastAsia="en-GB"/>
              </w:rPr>
              <w:t>272</w:t>
            </w:r>
          </w:p>
        </w:tc>
        <w:tc>
          <w:tcPr>
            <w:tcW w:w="0" w:type="auto"/>
            <w:shd w:val="clear" w:color="auto" w:fill="F2F2F2" w:themeFill="background1" w:themeFillShade="F2"/>
            <w:noWrap/>
            <w:vAlign w:val="center"/>
            <w:hideMark/>
          </w:tcPr>
          <w:p w:rsidR="005D64EF" w:rsidRPr="005D64EF" w:rsidRDefault="005D64EF" w:rsidP="005D64EF">
            <w:pPr>
              <w:spacing w:after="0"/>
              <w:jc w:val="center"/>
              <w:rPr>
                <w:rFonts w:cstheme="minorHAnsi"/>
                <w:b/>
                <w:bCs/>
                <w:lang w:eastAsia="en-GB"/>
              </w:rPr>
            </w:pPr>
            <w:r w:rsidRPr="005D64EF">
              <w:rPr>
                <w:rFonts w:cstheme="minorHAnsi"/>
                <w:b/>
                <w:bCs/>
                <w:lang w:eastAsia="en-GB"/>
              </w:rPr>
              <w:t>272</w:t>
            </w:r>
          </w:p>
        </w:tc>
        <w:tc>
          <w:tcPr>
            <w:tcW w:w="0" w:type="auto"/>
            <w:shd w:val="clear" w:color="auto" w:fill="F2F2F2" w:themeFill="background1" w:themeFillShade="F2"/>
            <w:vAlign w:val="center"/>
          </w:tcPr>
          <w:p w:rsidR="005D64EF" w:rsidRPr="005D64EF" w:rsidRDefault="005D64EF" w:rsidP="005D64EF">
            <w:pPr>
              <w:spacing w:after="0"/>
              <w:jc w:val="center"/>
              <w:rPr>
                <w:rFonts w:cstheme="minorHAnsi"/>
                <w:b/>
                <w:bCs/>
                <w:lang w:eastAsia="en-GB"/>
              </w:rPr>
            </w:pPr>
            <w:r w:rsidRPr="005D64EF">
              <w:rPr>
                <w:rFonts w:cstheme="minorHAnsi"/>
                <w:b/>
                <w:bCs/>
                <w:lang w:eastAsia="en-GB"/>
              </w:rPr>
              <w:t>272</w:t>
            </w:r>
          </w:p>
        </w:tc>
        <w:tc>
          <w:tcPr>
            <w:tcW w:w="0" w:type="auto"/>
            <w:shd w:val="clear" w:color="auto" w:fill="F2F2F2" w:themeFill="background1" w:themeFillShade="F2"/>
            <w:noWrap/>
            <w:vAlign w:val="center"/>
            <w:hideMark/>
          </w:tcPr>
          <w:p w:rsidR="005D64EF" w:rsidRPr="005D64EF" w:rsidRDefault="005D64EF" w:rsidP="005D64EF">
            <w:pPr>
              <w:spacing w:after="0"/>
              <w:jc w:val="center"/>
              <w:rPr>
                <w:rFonts w:cstheme="minorHAnsi"/>
                <w:b/>
                <w:bCs/>
                <w:lang w:eastAsia="en-GB"/>
              </w:rPr>
            </w:pPr>
            <w:r w:rsidRPr="005D64EF">
              <w:rPr>
                <w:rFonts w:cstheme="minorHAnsi"/>
                <w:b/>
                <w:bCs/>
                <w:lang w:eastAsia="en-GB"/>
              </w:rPr>
              <w:t>60</w:t>
            </w:r>
          </w:p>
        </w:tc>
        <w:tc>
          <w:tcPr>
            <w:tcW w:w="0" w:type="auto"/>
            <w:shd w:val="clear" w:color="auto" w:fill="F2F2F2" w:themeFill="background1" w:themeFillShade="F2"/>
            <w:noWrap/>
            <w:vAlign w:val="center"/>
            <w:hideMark/>
          </w:tcPr>
          <w:p w:rsidR="005D64EF" w:rsidRPr="005D64EF" w:rsidRDefault="005D64EF" w:rsidP="005D64EF">
            <w:pPr>
              <w:spacing w:after="0"/>
              <w:jc w:val="center"/>
              <w:rPr>
                <w:rFonts w:cstheme="minorHAnsi"/>
                <w:b/>
                <w:bCs/>
                <w:lang w:eastAsia="en-GB"/>
              </w:rPr>
            </w:pPr>
            <w:r w:rsidRPr="005D64EF">
              <w:rPr>
                <w:rFonts w:cstheme="minorHAnsi"/>
                <w:b/>
                <w:bCs/>
                <w:lang w:eastAsia="en-GB"/>
              </w:rPr>
              <w:t>60</w:t>
            </w:r>
          </w:p>
        </w:tc>
        <w:tc>
          <w:tcPr>
            <w:tcW w:w="0" w:type="auto"/>
            <w:shd w:val="clear" w:color="auto" w:fill="F2F2F2" w:themeFill="background1" w:themeFillShade="F2"/>
            <w:vAlign w:val="center"/>
          </w:tcPr>
          <w:p w:rsidR="005D64EF" w:rsidRPr="005D64EF" w:rsidRDefault="005D64EF" w:rsidP="005D64EF">
            <w:pPr>
              <w:spacing w:after="0"/>
              <w:jc w:val="center"/>
              <w:rPr>
                <w:rFonts w:cstheme="minorHAnsi"/>
                <w:b/>
                <w:bCs/>
                <w:lang w:eastAsia="en-GB"/>
              </w:rPr>
            </w:pPr>
            <w:r w:rsidRPr="005D64EF">
              <w:rPr>
                <w:rFonts w:cstheme="minorHAnsi"/>
                <w:b/>
                <w:bCs/>
                <w:lang w:eastAsia="en-GB"/>
              </w:rPr>
              <w:t>60</w:t>
            </w:r>
          </w:p>
        </w:tc>
      </w:tr>
    </w:tbl>
    <w:p w:rsidR="005D64EF" w:rsidRPr="00832095" w:rsidRDefault="005D64EF" w:rsidP="005D64EF">
      <w:pPr>
        <w:spacing w:before="160" w:line="276" w:lineRule="auto"/>
        <w:jc w:val="both"/>
        <w:rPr>
          <w:rFonts w:eastAsia="Calibri" w:cs="Arial"/>
        </w:rPr>
      </w:pPr>
      <w:r>
        <w:rPr>
          <w:rFonts w:eastAsia="Calibri" w:cs="Arial"/>
        </w:rPr>
        <w:t>S</w:t>
      </w:r>
      <w:r w:rsidRPr="00832095">
        <w:rPr>
          <w:rFonts w:eastAsia="Calibri" w:cs="Arial"/>
        </w:rPr>
        <w:t xml:space="preserve">uch deviations from the basic principles that bind the federation </w:t>
      </w:r>
      <w:r>
        <w:rPr>
          <w:rFonts w:eastAsia="Calibri" w:cs="Arial"/>
        </w:rPr>
        <w:t>require extraordinary reasoning and justification.</w:t>
      </w:r>
      <w:r w:rsidRPr="00832095">
        <w:rPr>
          <w:rFonts w:eastAsia="Calibri" w:cs="Arial"/>
        </w:rPr>
        <w:t xml:space="preserve"> </w:t>
      </w:r>
      <w:r>
        <w:rPr>
          <w:rFonts w:eastAsia="Calibri" w:cs="Arial"/>
        </w:rPr>
        <w:t>It would be</w:t>
      </w:r>
      <w:r w:rsidRPr="00832095">
        <w:rPr>
          <w:rFonts w:eastAsia="Calibri" w:cs="Arial"/>
        </w:rPr>
        <w:t xml:space="preserve"> more appropriate </w:t>
      </w:r>
      <w:r>
        <w:rPr>
          <w:rFonts w:eastAsia="Calibri" w:cs="Arial"/>
        </w:rPr>
        <w:t>to reach</w:t>
      </w:r>
      <w:r w:rsidRPr="00832095">
        <w:rPr>
          <w:rFonts w:eastAsia="Calibri" w:cs="Arial"/>
        </w:rPr>
        <w:t xml:space="preserve"> a decision on the future of FATA – its merger with KP or </w:t>
      </w:r>
      <w:r>
        <w:rPr>
          <w:rFonts w:eastAsia="Calibri" w:cs="Arial"/>
        </w:rPr>
        <w:t>status as a</w:t>
      </w:r>
      <w:r w:rsidRPr="00832095">
        <w:rPr>
          <w:rFonts w:eastAsia="Calibri" w:cs="Arial"/>
        </w:rPr>
        <w:t xml:space="preserve"> separate province – to address th</w:t>
      </w:r>
      <w:r>
        <w:rPr>
          <w:rFonts w:eastAsia="Calibri" w:cs="Arial"/>
        </w:rPr>
        <w:t xml:space="preserve">e issue of its underdevelopment/underrepresentation </w:t>
      </w:r>
      <w:r w:rsidRPr="00832095">
        <w:rPr>
          <w:rFonts w:eastAsia="Calibri" w:cs="Arial"/>
        </w:rPr>
        <w:t>instead o</w:t>
      </w:r>
      <w:r>
        <w:rPr>
          <w:rFonts w:eastAsia="Calibri" w:cs="Arial"/>
        </w:rPr>
        <w:t>f creating deviations from the C</w:t>
      </w:r>
      <w:r w:rsidRPr="00832095">
        <w:rPr>
          <w:rFonts w:eastAsia="Calibri" w:cs="Arial"/>
        </w:rPr>
        <w:t xml:space="preserve">onstitution to over represent a region in the national legislature. </w:t>
      </w:r>
      <w:r>
        <w:rPr>
          <w:rFonts w:eastAsia="Calibri" w:cs="Arial"/>
        </w:rPr>
        <w:t xml:space="preserve">Alternatively, specific amendments may be made in the Constitution to allow for additional seats to all under-developed areas in the country. </w:t>
      </w:r>
      <w:r w:rsidRPr="00832095">
        <w:rPr>
          <w:rFonts w:eastAsia="Calibri" w:cs="Arial"/>
        </w:rPr>
        <w:t>All territories men</w:t>
      </w:r>
      <w:r>
        <w:rPr>
          <w:rFonts w:eastAsia="Calibri" w:cs="Arial"/>
        </w:rPr>
        <w:t>tioned in Article 1 (2) of the C</w:t>
      </w:r>
      <w:r w:rsidRPr="00832095">
        <w:rPr>
          <w:rFonts w:eastAsia="Calibri" w:cs="Arial"/>
        </w:rPr>
        <w:t xml:space="preserve">onstitution need to be treated equally and proportionately. </w:t>
      </w:r>
    </w:p>
    <w:p w:rsidR="005D64EF" w:rsidRDefault="005D64EF" w:rsidP="005D64EF">
      <w:pPr>
        <w:spacing w:line="276" w:lineRule="auto"/>
        <w:jc w:val="both"/>
        <w:rPr>
          <w:rFonts w:eastAsia="Calibri" w:cs="Arial"/>
        </w:rPr>
      </w:pPr>
      <w:r w:rsidRPr="00832095">
        <w:rPr>
          <w:rFonts w:eastAsia="Calibri" w:cs="Arial"/>
        </w:rPr>
        <w:t>FAFEN urges the government to deal with</w:t>
      </w:r>
      <w:r>
        <w:rPr>
          <w:rFonts w:eastAsia="Calibri" w:cs="Arial"/>
        </w:rPr>
        <w:t xml:space="preserve"> this</w:t>
      </w:r>
      <w:r w:rsidRPr="00832095">
        <w:rPr>
          <w:rFonts w:eastAsia="Calibri" w:cs="Arial"/>
        </w:rPr>
        <w:t xml:space="preserve"> highly technical issue </w:t>
      </w:r>
      <w:r>
        <w:rPr>
          <w:rFonts w:eastAsia="Calibri" w:cs="Arial"/>
        </w:rPr>
        <w:t xml:space="preserve">of official publication of census results </w:t>
      </w:r>
      <w:r w:rsidRPr="00832095">
        <w:rPr>
          <w:rFonts w:eastAsia="Calibri" w:cs="Arial"/>
        </w:rPr>
        <w:t xml:space="preserve">through administrative means. </w:t>
      </w:r>
      <w:r>
        <w:rPr>
          <w:rFonts w:eastAsia="Calibri" w:cs="Arial"/>
        </w:rPr>
        <w:t xml:space="preserve">It should direct the </w:t>
      </w:r>
      <w:r w:rsidRPr="00832095">
        <w:rPr>
          <w:rFonts w:eastAsia="Calibri" w:cs="Arial"/>
        </w:rPr>
        <w:t>Pakistan Bureau of Statistics (PBS) to finalize the census results to enable their prompt official publication. Alternative</w:t>
      </w:r>
      <w:r>
        <w:rPr>
          <w:rFonts w:eastAsia="Calibri" w:cs="Arial"/>
        </w:rPr>
        <w:t>ly</w:t>
      </w:r>
      <w:r w:rsidRPr="00832095">
        <w:rPr>
          <w:rFonts w:eastAsia="Calibri" w:cs="Arial"/>
        </w:rPr>
        <w:t xml:space="preserve">, PBS </w:t>
      </w:r>
      <w:r>
        <w:rPr>
          <w:rFonts w:eastAsia="Calibri" w:cs="Arial"/>
        </w:rPr>
        <w:t>should</w:t>
      </w:r>
      <w:r w:rsidRPr="00832095">
        <w:rPr>
          <w:rFonts w:eastAsia="Calibri" w:cs="Arial"/>
        </w:rPr>
        <w:t xml:space="preserve"> be required to officially declare </w:t>
      </w:r>
      <w:r>
        <w:rPr>
          <w:rFonts w:eastAsia="Calibri" w:cs="Arial"/>
        </w:rPr>
        <w:t xml:space="preserve">that </w:t>
      </w:r>
      <w:r w:rsidRPr="00832095">
        <w:rPr>
          <w:rFonts w:eastAsia="Calibri" w:cs="Arial"/>
        </w:rPr>
        <w:t xml:space="preserve">there will be no </w:t>
      </w:r>
      <w:r>
        <w:rPr>
          <w:rFonts w:eastAsia="Calibri" w:cs="Arial"/>
        </w:rPr>
        <w:t xml:space="preserve">significant deviations in the official census results from the provisional data. However, the government must also allay the concerns of national and regional parties over the census results, addressing all genuine complaints about under-enumeration. </w:t>
      </w:r>
    </w:p>
    <w:p w:rsidR="005D64EF" w:rsidRPr="00832095" w:rsidRDefault="005D64EF" w:rsidP="005D64EF">
      <w:pPr>
        <w:spacing w:line="276" w:lineRule="auto"/>
        <w:jc w:val="both"/>
        <w:rPr>
          <w:rFonts w:eastAsia="Calibri" w:cs="Arial"/>
        </w:rPr>
      </w:pPr>
      <w:r w:rsidRPr="00832095">
        <w:rPr>
          <w:rFonts w:eastAsia="Calibri" w:cs="Arial"/>
        </w:rPr>
        <w:t xml:space="preserve">Moreover, the </w:t>
      </w:r>
      <w:r>
        <w:rPr>
          <w:rFonts w:eastAsia="Calibri" w:cs="Arial"/>
        </w:rPr>
        <w:t>constitutional</w:t>
      </w:r>
      <w:r w:rsidRPr="00832095">
        <w:rPr>
          <w:rFonts w:eastAsia="Calibri" w:cs="Arial"/>
        </w:rPr>
        <w:t xml:space="preserve"> amendment bill does not address the number of reserved seats to be reallocated to religious minorities</w:t>
      </w:r>
      <w:r>
        <w:rPr>
          <w:rFonts w:eastAsia="Calibri" w:cs="Arial"/>
        </w:rPr>
        <w:t xml:space="preserve"> in line with their share in population.</w:t>
      </w:r>
      <w:r w:rsidRPr="00832095">
        <w:rPr>
          <w:rFonts w:eastAsia="Calibri" w:cs="Arial"/>
        </w:rPr>
        <w:t xml:space="preserve"> </w:t>
      </w:r>
      <w:r>
        <w:rPr>
          <w:rFonts w:eastAsia="Calibri" w:cs="Arial"/>
        </w:rPr>
        <w:t xml:space="preserve">While PBS must make public the population figures of non-Muslim minorities, </w:t>
      </w:r>
      <w:r w:rsidRPr="00832095">
        <w:rPr>
          <w:rFonts w:eastAsia="Calibri" w:cs="Arial"/>
        </w:rPr>
        <w:t>FAFEN urges parliamentary parties to proceed with the bill only after this omission is deliberated upon and the representation of religious minorities is satisfactorily considered.</w:t>
      </w:r>
    </w:p>
    <w:p w:rsidR="00180559" w:rsidRPr="006141BA" w:rsidRDefault="00A01E87" w:rsidP="005D64EF">
      <w:pPr>
        <w:spacing w:before="240" w:after="240" w:line="276" w:lineRule="auto"/>
        <w:jc w:val="both"/>
        <w:rPr>
          <w:rFonts w:eastAsia="Calibri" w:cs="Arial"/>
        </w:rPr>
      </w:pPr>
    </w:p>
    <w:sectPr w:rsidR="00180559" w:rsidRPr="006141BA" w:rsidSect="006141BA">
      <w:headerReference w:type="default" r:id="rId8"/>
      <w:pgSz w:w="11906" w:h="16838" w:code="9"/>
      <w:pgMar w:top="2880" w:right="83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E87" w:rsidRDefault="00A01E87" w:rsidP="00084CFC">
      <w:pPr>
        <w:spacing w:after="0" w:line="240" w:lineRule="auto"/>
      </w:pPr>
      <w:r>
        <w:separator/>
      </w:r>
    </w:p>
  </w:endnote>
  <w:endnote w:type="continuationSeparator" w:id="0">
    <w:p w:rsidR="00A01E87" w:rsidRDefault="00A01E87" w:rsidP="00084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E87" w:rsidRDefault="00A01E87" w:rsidP="00084CFC">
      <w:pPr>
        <w:spacing w:after="0" w:line="240" w:lineRule="auto"/>
      </w:pPr>
      <w:r>
        <w:separator/>
      </w:r>
    </w:p>
  </w:footnote>
  <w:footnote w:type="continuationSeparator" w:id="0">
    <w:p w:rsidR="00A01E87" w:rsidRDefault="00A01E87" w:rsidP="00084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F9E" w:rsidRDefault="00680F9E">
    <w:pPr>
      <w:pStyle w:val="Header"/>
    </w:pPr>
    <w:r>
      <w:rPr>
        <w:noProof/>
      </w:rPr>
      <w:drawing>
        <wp:anchor distT="0" distB="0" distL="114300" distR="114300" simplePos="0" relativeHeight="251659264" behindDoc="1" locked="0" layoutInCell="1" allowOverlap="1" wp14:anchorId="2AF5FC2F" wp14:editId="39D87350">
          <wp:simplePos x="0" y="0"/>
          <wp:positionH relativeFrom="column">
            <wp:posOffset>-929640</wp:posOffset>
          </wp:positionH>
          <wp:positionV relativeFrom="paragraph">
            <wp:posOffset>-449580</wp:posOffset>
          </wp:positionV>
          <wp:extent cx="7562088" cy="10692016"/>
          <wp:effectExtent l="0" t="0" r="1270" b="0"/>
          <wp:wrapNone/>
          <wp:docPr id="3" name="Picture 3" descr="C:\Users\Javed Khan\AppData\Local\Microsoft\Windows\INetCache\Content.Word\FAFEN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ed Khan\AppData\Local\Microsoft\Windows\INetCache\Content.Word\FAFEN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06920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35F4B"/>
    <w:multiLevelType w:val="hybridMultilevel"/>
    <w:tmpl w:val="0F12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74F0F"/>
    <w:multiLevelType w:val="hybridMultilevel"/>
    <w:tmpl w:val="41BAEB46"/>
    <w:lvl w:ilvl="0" w:tplc="D0083C78">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3C17AF3"/>
    <w:multiLevelType w:val="hybridMultilevel"/>
    <w:tmpl w:val="68249BC4"/>
    <w:lvl w:ilvl="0" w:tplc="241C9C5E">
      <w:start w:val="1"/>
      <w:numFmt w:val="bullet"/>
      <w:lvlText w:val=""/>
      <w:lvlJc w:val="left"/>
      <w:pPr>
        <w:ind w:left="360" w:hanging="360"/>
      </w:pPr>
      <w:rPr>
        <w:rFonts w:ascii="Wingdings" w:hAnsi="Wingdings" w:hint="default"/>
        <w:color w:val="00206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CFC"/>
    <w:rsid w:val="00084CFC"/>
    <w:rsid w:val="00091AF9"/>
    <w:rsid w:val="000E3CBA"/>
    <w:rsid w:val="000F2332"/>
    <w:rsid w:val="00112A91"/>
    <w:rsid w:val="00176936"/>
    <w:rsid w:val="001872FE"/>
    <w:rsid w:val="001A1C90"/>
    <w:rsid w:val="00241153"/>
    <w:rsid w:val="002E0F38"/>
    <w:rsid w:val="00317720"/>
    <w:rsid w:val="00352135"/>
    <w:rsid w:val="003A5BD8"/>
    <w:rsid w:val="003C07C9"/>
    <w:rsid w:val="00484A9D"/>
    <w:rsid w:val="00486B68"/>
    <w:rsid w:val="005A3EF1"/>
    <w:rsid w:val="005D64EF"/>
    <w:rsid w:val="005E09EE"/>
    <w:rsid w:val="006141BA"/>
    <w:rsid w:val="00680F9E"/>
    <w:rsid w:val="006E6097"/>
    <w:rsid w:val="006F1A03"/>
    <w:rsid w:val="006F4611"/>
    <w:rsid w:val="00725685"/>
    <w:rsid w:val="007C1850"/>
    <w:rsid w:val="0083464B"/>
    <w:rsid w:val="00850144"/>
    <w:rsid w:val="00896F38"/>
    <w:rsid w:val="00946211"/>
    <w:rsid w:val="0095698A"/>
    <w:rsid w:val="00A01E87"/>
    <w:rsid w:val="00A57422"/>
    <w:rsid w:val="00B15FB1"/>
    <w:rsid w:val="00B63570"/>
    <w:rsid w:val="00B638A1"/>
    <w:rsid w:val="00B8453A"/>
    <w:rsid w:val="00C66A50"/>
    <w:rsid w:val="00C94742"/>
    <w:rsid w:val="00D95E9E"/>
    <w:rsid w:val="00DB3553"/>
    <w:rsid w:val="00DC1A19"/>
    <w:rsid w:val="00E02BDF"/>
    <w:rsid w:val="00E36C36"/>
    <w:rsid w:val="00E42B9D"/>
    <w:rsid w:val="00E822B1"/>
    <w:rsid w:val="00EB4925"/>
    <w:rsid w:val="00ED2184"/>
    <w:rsid w:val="00F470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0ABB5"/>
  <w15:chartTrackingRefBased/>
  <w15:docId w15:val="{E6D54AE2-52AB-45B0-818A-1A004D4A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F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3,Carattere Carattere, Char, Carattere Carattere"/>
    <w:basedOn w:val="Normal"/>
    <w:link w:val="FootnoteTextChar"/>
    <w:uiPriority w:val="99"/>
    <w:unhideWhenUsed/>
    <w:rsid w:val="00084CFC"/>
    <w:pPr>
      <w:spacing w:after="0" w:line="240" w:lineRule="auto"/>
    </w:pPr>
    <w:rPr>
      <w:sz w:val="20"/>
      <w:szCs w:val="20"/>
    </w:rPr>
  </w:style>
  <w:style w:type="character" w:customStyle="1" w:styleId="FootnoteTextChar">
    <w:name w:val="Footnote Text Char"/>
    <w:aliases w:val="Char3 Char,Carattere Carattere Char, Char Char, Carattere Carattere Char"/>
    <w:basedOn w:val="DefaultParagraphFont"/>
    <w:link w:val="FootnoteText"/>
    <w:uiPriority w:val="99"/>
    <w:rsid w:val="00084CFC"/>
    <w:rPr>
      <w:sz w:val="20"/>
      <w:szCs w:val="20"/>
    </w:rPr>
  </w:style>
  <w:style w:type="character" w:styleId="FootnoteReference">
    <w:name w:val="footnote reference"/>
    <w:basedOn w:val="DefaultParagraphFont"/>
    <w:unhideWhenUsed/>
    <w:rsid w:val="00084CFC"/>
    <w:rPr>
      <w:vertAlign w:val="superscript"/>
    </w:rPr>
  </w:style>
  <w:style w:type="character" w:styleId="CommentReference">
    <w:name w:val="annotation reference"/>
    <w:basedOn w:val="DefaultParagraphFont"/>
    <w:uiPriority w:val="99"/>
    <w:semiHidden/>
    <w:unhideWhenUsed/>
    <w:rsid w:val="00084CFC"/>
    <w:rPr>
      <w:sz w:val="16"/>
      <w:szCs w:val="16"/>
    </w:rPr>
  </w:style>
  <w:style w:type="paragraph" w:styleId="CommentText">
    <w:name w:val="annotation text"/>
    <w:basedOn w:val="Normal"/>
    <w:link w:val="CommentTextChar"/>
    <w:uiPriority w:val="99"/>
    <w:semiHidden/>
    <w:unhideWhenUsed/>
    <w:rsid w:val="00084CFC"/>
    <w:pPr>
      <w:spacing w:line="240" w:lineRule="auto"/>
    </w:pPr>
    <w:rPr>
      <w:sz w:val="20"/>
      <w:szCs w:val="20"/>
    </w:rPr>
  </w:style>
  <w:style w:type="character" w:customStyle="1" w:styleId="CommentTextChar">
    <w:name w:val="Comment Text Char"/>
    <w:basedOn w:val="DefaultParagraphFont"/>
    <w:link w:val="CommentText"/>
    <w:uiPriority w:val="99"/>
    <w:semiHidden/>
    <w:rsid w:val="00084CFC"/>
    <w:rPr>
      <w:sz w:val="20"/>
      <w:szCs w:val="20"/>
    </w:rPr>
  </w:style>
  <w:style w:type="paragraph" w:styleId="BalloonText">
    <w:name w:val="Balloon Text"/>
    <w:basedOn w:val="Normal"/>
    <w:link w:val="BalloonTextChar"/>
    <w:uiPriority w:val="99"/>
    <w:semiHidden/>
    <w:unhideWhenUsed/>
    <w:rsid w:val="00084C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CFC"/>
    <w:rPr>
      <w:rFonts w:ascii="Segoe UI" w:hAnsi="Segoe UI" w:cs="Segoe UI"/>
      <w:sz w:val="18"/>
      <w:szCs w:val="18"/>
    </w:rPr>
  </w:style>
  <w:style w:type="paragraph" w:styleId="ListParagraph">
    <w:name w:val="List Paragraph"/>
    <w:basedOn w:val="Normal"/>
    <w:uiPriority w:val="34"/>
    <w:qFormat/>
    <w:rsid w:val="00484A9D"/>
    <w:pPr>
      <w:ind w:left="720"/>
      <w:contextualSpacing/>
    </w:pPr>
  </w:style>
  <w:style w:type="paragraph" w:styleId="Header">
    <w:name w:val="header"/>
    <w:basedOn w:val="Normal"/>
    <w:link w:val="HeaderChar"/>
    <w:uiPriority w:val="99"/>
    <w:unhideWhenUsed/>
    <w:rsid w:val="00680F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F9E"/>
  </w:style>
  <w:style w:type="paragraph" w:styleId="Footer">
    <w:name w:val="footer"/>
    <w:basedOn w:val="Normal"/>
    <w:link w:val="FooterChar"/>
    <w:uiPriority w:val="99"/>
    <w:unhideWhenUsed/>
    <w:rsid w:val="00680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15EA1-4B53-469B-A713-AA290CD9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Adnan Anjum Saeed Akhtar</dc:creator>
  <cp:keywords/>
  <dc:description/>
  <cp:lastModifiedBy>Javed Khan</cp:lastModifiedBy>
  <cp:revision>12</cp:revision>
  <cp:lastPrinted>2017-08-16T10:42:00Z</cp:lastPrinted>
  <dcterms:created xsi:type="dcterms:W3CDTF">2017-11-14T10:14:00Z</dcterms:created>
  <dcterms:modified xsi:type="dcterms:W3CDTF">2017-11-14T12:18:00Z</dcterms:modified>
</cp:coreProperties>
</file>